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80" w:rsidRPr="00B65080" w:rsidRDefault="00B65080" w:rsidP="0039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B65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ПЕРЕНОС БАЗОВОГО СЧЕТА </w:t>
      </w:r>
    </w:p>
    <w:bookmarkEnd w:id="0"/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 осуществить операцию по переносу базового счета №____________________, открытого в __________________________, БИК_____________, путем его закрытия и открыть базовый счет в ОАО «</w:t>
      </w:r>
      <w:proofErr w:type="spellStart"/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Белагропромбанк</w:t>
      </w:r>
      <w:proofErr w:type="spellEnd"/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»:</w:t>
      </w: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454"/>
      </w:tblGrid>
      <w:tr w:rsidR="00B65080" w:rsidRPr="00B65080" w:rsidTr="00172A99">
        <w:trPr>
          <w:trHeight w:val="509"/>
        </w:trPr>
        <w:tc>
          <w:tcPr>
            <w:tcW w:w="10206" w:type="dxa"/>
            <w:gridSpan w:val="2"/>
          </w:tcPr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  <w:r w:rsidRPr="00B65080"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  <w:t>Наименование Подразделения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  <w:r w:rsidRPr="00B65080"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  <w:t>(заполняется Банком)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базового счета, открытый в результате переноса: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№_____________________________________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(заполняется Банком в формате </w:t>
            </w:r>
            <w:r w:rsidRPr="00B650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IBAN</w:t>
            </w:r>
            <w:r w:rsidRPr="00B650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65080" w:rsidRPr="00B65080" w:rsidTr="00172A99">
        <w:tc>
          <w:tcPr>
            <w:tcW w:w="10206" w:type="dxa"/>
            <w:gridSpan w:val="2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физического лица: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806" w:type="dxa"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и Имя латинскими буквами 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(как в документе, удостоверяющем личность):</w:t>
            </w:r>
          </w:p>
        </w:tc>
        <w:tc>
          <w:tcPr>
            <w:tcW w:w="6806" w:type="dxa"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6806" w:type="dxa"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(страна):</w:t>
            </w:r>
          </w:p>
        </w:tc>
        <w:tc>
          <w:tcPr>
            <w:tcW w:w="6806" w:type="dxa"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рождения_______________________,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_____________________.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документа____________, номер документа______________,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_________________, срок действия ______________,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 _____________________________________________, 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______________________________.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6806" w:type="dxa"/>
          </w:tcPr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проживания и направления корреспонденции</w:t>
            </w:r>
          </w:p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65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может не заполняться, если адрес проживания совпадает с адресом регистрации):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B65080" w:rsidRPr="00B65080" w:rsidTr="00172A99">
        <w:tc>
          <w:tcPr>
            <w:tcW w:w="3400" w:type="dxa"/>
            <w:vMerge w:val="restart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номера 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телефон: +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</w:t>
            </w:r>
            <w:r w:rsidRPr="00B65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код страны           номер телефона</w:t>
            </w:r>
          </w:p>
        </w:tc>
      </w:tr>
      <w:tr w:rsidR="00B65080" w:rsidRPr="00B65080" w:rsidTr="00172A99">
        <w:tc>
          <w:tcPr>
            <w:tcW w:w="0" w:type="auto"/>
            <w:vMerge/>
            <w:vAlign w:val="center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телефон: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А1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MTC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life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:)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B65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код страны      номер телефона                    наименование оператора</w:t>
            </w:r>
            <w:r w:rsidRPr="00B650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5080" w:rsidRPr="00B65080" w:rsidTr="00172A99">
        <w:tc>
          <w:tcPr>
            <w:tcW w:w="0" w:type="auto"/>
            <w:vMerge/>
            <w:vAlign w:val="center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 для идентификации при связи с банком: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(например, девичья фамилия матери)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  </w:t>
            </w:r>
          </w:p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имею</w:t>
            </w:r>
          </w:p>
        </w:tc>
      </w:tr>
      <w:tr w:rsidR="00B65080" w:rsidRPr="00B65080" w:rsidTr="00172A99">
        <w:tc>
          <w:tcPr>
            <w:tcW w:w="10206" w:type="dxa"/>
            <w:gridSpan w:val="2"/>
            <w:hideMark/>
          </w:tcPr>
          <w:p w:rsidR="00B65080" w:rsidRPr="00B65080" w:rsidRDefault="00B65080" w:rsidP="00B65080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услуги: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карточки: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080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</w:t>
            </w:r>
          </w:p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080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 (пенсионная)</w:t>
            </w:r>
          </w:p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080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 Студенческая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SMS</w:t>
            </w: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-информирование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 условиями предоставления услуги «SMS-информирование» ознакомлен(а). Прошу подключить услугу 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SMS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-информирование по пакету «М» 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 «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L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» 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/ «XL» </w:t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ПИН-код: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выслать на номер мобильного телефона, </w:t>
            </w:r>
          </w:p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предоставить на бумажном носителе.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карточки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курьером  </w:t>
            </w:r>
          </w:p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почтой</w:t>
            </w:r>
          </w:p>
        </w:tc>
      </w:tr>
      <w:tr w:rsidR="00B65080" w:rsidRPr="00B65080" w:rsidTr="00172A99">
        <w:tc>
          <w:tcPr>
            <w:tcW w:w="3400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Адрес доставки карточки:</w:t>
            </w:r>
          </w:p>
        </w:tc>
        <w:tc>
          <w:tcPr>
            <w:tcW w:w="6806" w:type="dxa"/>
            <w:hideMark/>
          </w:tcPr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:rsidR="00B65080" w:rsidRPr="00B65080" w:rsidRDefault="00B65080" w:rsidP="00B650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ознакомлен и согласен с условиями</w:t>
      </w:r>
      <w:r w:rsidRPr="00B65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65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Публичной оферты ОАО «</w:t>
      </w:r>
      <w:proofErr w:type="spellStart"/>
      <w:r w:rsidRPr="00B65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Белагропромбанк</w:t>
      </w:r>
      <w:proofErr w:type="spellEnd"/>
      <w:r w:rsidRPr="00B65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на заключение договора текущего (расчетного) банковского счета физического лица с базовыми условиями обслуживания:</w:t>
      </w:r>
      <w:r w:rsidRPr="00B65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(его представитель, 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</w:t>
      </w:r>
      <w:proofErr w:type="gramStart"/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B65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B65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_________________/</w:t>
      </w:r>
      <w:r w:rsidRPr="00B650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B650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B65080" w:rsidRPr="00B65080" w:rsidRDefault="00B65080" w:rsidP="00B6508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65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B65080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B65080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B65080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Подтверждаю ознакомление со следующей информацией: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об операциях, включенных в базовые условия обслуживания;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Банке;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правилах оказания Банком услуг, предусмотренных договором базового счета;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безопасности оказания Банком услуг, предусмотренных договором базового счета;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порядке внесения изменений в договор базового счета и прекращения его действия;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случаях и порядке обжалования действий (бездействия) Банка и способах разрешения споров;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рекомендациях по безопасному использованию карточки;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</w:t>
      </w:r>
      <w:proofErr w:type="spellStart"/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т.п</w:t>
      </w:r>
      <w:proofErr w:type="spellEnd"/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), а также не разглашать данную информацию третьим лицам;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предотвращения несанкционированного держателем карточки доступа к базовому счету;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 контактной информацией для связи с Банком в рабочие и выходные (праздничные) дни;</w:t>
      </w:r>
    </w:p>
    <w:p w:rsidR="00B65080" w:rsidRPr="00B65080" w:rsidRDefault="00B65080" w:rsidP="00B65080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</w:t>
      </w:r>
      <w:proofErr w:type="spellStart"/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овердрафтного</w:t>
      </w:r>
      <w:proofErr w:type="spellEnd"/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 кредита) и (или) предельный размер единовременной</w:t>
      </w: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:rsidR="00B65080" w:rsidRPr="00B65080" w:rsidRDefault="00B65080" w:rsidP="00B65080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- примеры причин возникновения неурегулированного остатка задолженности клиента:</w:t>
      </w:r>
    </w:p>
    <w:p w:rsidR="00B65080" w:rsidRPr="00B65080" w:rsidRDefault="00B65080" w:rsidP="00B65080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:rsidR="00B65080" w:rsidRPr="00B65080" w:rsidRDefault="00B65080" w:rsidP="00B65080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системы авторизации, превышает доступный остаток по счету клиента и (или) лимит овердрафта (при наличии);</w:t>
      </w:r>
    </w:p>
    <w:p w:rsidR="00B65080" w:rsidRPr="00B65080" w:rsidRDefault="00B65080" w:rsidP="00B65080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:rsidR="00B65080" w:rsidRPr="00B65080" w:rsidRDefault="00B65080" w:rsidP="00B65080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:rsidR="00B65080" w:rsidRPr="00B65080" w:rsidRDefault="00B65080" w:rsidP="00B65080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операции, и в момент отражения операции по текущему счету;</w:t>
      </w:r>
    </w:p>
    <w:p w:rsidR="00B65080" w:rsidRPr="00B65080" w:rsidRDefault="00B65080" w:rsidP="00B65080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:rsidR="00B65080" w:rsidRPr="00B65080" w:rsidRDefault="00B65080" w:rsidP="00B65080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сумму лимита овердрафта (при наличии).</w:t>
      </w:r>
    </w:p>
    <w:p w:rsidR="00B65080" w:rsidRPr="00B65080" w:rsidRDefault="00B65080" w:rsidP="00B65080">
      <w:pPr>
        <w:widowControl w:val="0"/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</w:pPr>
      <w:r w:rsidRPr="00B65080">
        <w:rPr>
          <w:rFonts w:ascii="Calibri" w:eastAsia="Times New Roman" w:hAnsi="Calibri" w:cs="Calibri"/>
          <w:sz w:val="16"/>
          <w:szCs w:val="16"/>
          <w:lang w:eastAsia="ru-RU"/>
        </w:rPr>
        <w:t xml:space="preserve">- </w:t>
      </w:r>
      <w:r w:rsidRPr="00B65080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  <w:lang w:eastAsia="ru-RU"/>
        </w:rPr>
        <w:t xml:space="preserve">Банк при </w:t>
      </w:r>
      <w:r w:rsidRPr="00B65080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</w:t>
      </w:r>
      <w:proofErr w:type="spellStart"/>
      <w:r w:rsidRPr="00B65080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Viber</w:t>
      </w:r>
      <w:proofErr w:type="spellEnd"/>
      <w:r w:rsidRPr="00B65080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-сообщение) или путем письменного уведомления посредством почтовой связи;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 xml:space="preserve">- </w:t>
      </w: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:rsidR="00B65080" w:rsidRPr="00B65080" w:rsidRDefault="00B65080" w:rsidP="00B65080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безналичного перечисления денежных средств;</w:t>
      </w:r>
    </w:p>
    <w:p w:rsidR="00B65080" w:rsidRPr="00B65080" w:rsidRDefault="00B65080" w:rsidP="00B65080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внесения наличных денежных средств на счет в подразделении Банка;</w:t>
      </w:r>
    </w:p>
    <w:p w:rsidR="00B65080" w:rsidRPr="00B65080" w:rsidRDefault="00B65080" w:rsidP="00B65080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устройствах самообслуживания Банка;</w:t>
      </w:r>
    </w:p>
    <w:p w:rsidR="00B65080" w:rsidRPr="00B65080" w:rsidRDefault="00B65080" w:rsidP="00B65080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системе «Интернет-банкинг» Банка;</w:t>
      </w:r>
    </w:p>
    <w:p w:rsidR="00B65080" w:rsidRPr="00B65080" w:rsidRDefault="00B65080" w:rsidP="00B65080">
      <w:pPr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B65080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 в системе «Мобильный интернет-банкинг» Банка.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Клиент (его представитель, </w:t>
      </w:r>
    </w:p>
    <w:p w:rsidR="00B65080" w:rsidRPr="00B65080" w:rsidRDefault="00B65080" w:rsidP="00B6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  <w:r w:rsidRPr="00B65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65080" w:rsidRPr="00B65080" w:rsidRDefault="00B65080" w:rsidP="00B6508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</w:t>
      </w:r>
      <w:proofErr w:type="gramStart"/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):   </w:t>
      </w:r>
      <w:proofErr w:type="gramEnd"/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_________________/</w:t>
      </w: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___________________/</w:t>
      </w: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«____» __________ 20____ года</w:t>
      </w:r>
      <w:r w:rsidRPr="00B65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B65080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B65080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B65080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50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Банк:</w:t>
      </w:r>
      <w:r w:rsidRPr="00B65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_________________________/</w:t>
      </w:r>
      <w:r w:rsidRPr="00B65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______________________/</w:t>
      </w:r>
      <w:r w:rsidRPr="00B65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«____» __________ 20____ года</w:t>
      </w: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B65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B6508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подпись</w:t>
      </w:r>
      <w:r w:rsidRPr="00B6508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                Фамилия И. О.</w:t>
      </w:r>
      <w:r w:rsidRPr="00B6508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дата заполнения</w:t>
      </w:r>
    </w:p>
    <w:p w:rsidR="00B65080" w:rsidRPr="00B65080" w:rsidRDefault="00B65080" w:rsidP="00B65080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65080" w:rsidRPr="00B65080" w:rsidTr="00172A99">
        <w:tc>
          <w:tcPr>
            <w:tcW w:w="10173" w:type="dxa"/>
          </w:tcPr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карточки и конверта с ПИН-кодом (в случае выдачи/ получения ПИН-кода на бумажном носителе):</w:t>
            </w:r>
          </w:p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080" w:rsidRPr="00B65080" w:rsidTr="00172A99">
        <w:trPr>
          <w:trHeight w:val="686"/>
        </w:trPr>
        <w:tc>
          <w:tcPr>
            <w:tcW w:w="10173" w:type="dxa"/>
          </w:tcPr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Банковскую платежную карточку </w:t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 **** </w:t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сроком действия до ___/___, сроком действия до ___/__ и конверт с ПИН-кодом (в случае выдачи ПИН-кода на бумажном носителе) </w:t>
            </w: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неповрежденном виде получил(а).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_____________):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_________________/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__________________/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«____» _______ 20____ года</w:t>
            </w:r>
          </w:p>
          <w:p w:rsidR="00B65080" w:rsidRPr="00B65080" w:rsidRDefault="00B65080" w:rsidP="00B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 xml:space="preserve">    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Фамилия И. О.                                                 дата заполнения</w:t>
            </w:r>
          </w:p>
          <w:p w:rsidR="00B65080" w:rsidRPr="00B65080" w:rsidRDefault="00B65080" w:rsidP="00B65080">
            <w:pPr>
              <w:widowControl w:val="0"/>
              <w:tabs>
                <w:tab w:val="left" w:pos="1701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Выдал:</w:t>
            </w: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_________________________/</w:t>
            </w: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______________________/</w:t>
            </w: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«____» __________ 20____ года                                                                                                                                                                  </w:t>
            </w:r>
            <w:r w:rsidRPr="00B650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>подпись                                                              Фамилия И. О.</w:t>
            </w:r>
            <w:r w:rsidRPr="00B650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дата заполнения</w:t>
            </w:r>
          </w:p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080" w:rsidRPr="00B65080" w:rsidTr="00172A99">
        <w:tc>
          <w:tcPr>
            <w:tcW w:w="10173" w:type="dxa"/>
            <w:hideMark/>
          </w:tcPr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B65080" w:rsidRPr="00B65080" w:rsidTr="00172A99">
        <w:tc>
          <w:tcPr>
            <w:tcW w:w="10173" w:type="dxa"/>
            <w:hideMark/>
          </w:tcPr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паролей №    </w:t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B65080" w:rsidRPr="00B65080" w:rsidTr="00172A99">
        <w:tc>
          <w:tcPr>
            <w:tcW w:w="10173" w:type="dxa"/>
            <w:hideMark/>
          </w:tcPr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ключей №     </w:t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B650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B65080" w:rsidRPr="00B65080" w:rsidTr="00172A99">
        <w:tc>
          <w:tcPr>
            <w:tcW w:w="10173" w:type="dxa"/>
          </w:tcPr>
          <w:p w:rsidR="00B65080" w:rsidRPr="00B65080" w:rsidRDefault="00B65080" w:rsidP="00B65080">
            <w:pPr>
              <w:autoSpaceDE w:val="0"/>
              <w:autoSpaceDN w:val="0"/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в неповрежденном виде выдал:</w:t>
            </w:r>
          </w:p>
          <w:p w:rsidR="00B65080" w:rsidRPr="00B65080" w:rsidRDefault="00B65080" w:rsidP="00B65080">
            <w:pPr>
              <w:autoSpaceDE w:val="0"/>
              <w:autoSpaceDN w:val="0"/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_______________/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_____________________________/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__________________ 20___ года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подпись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Фамилия И. О.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дата заполнения</w:t>
            </w:r>
          </w:p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</w:t>
            </w:r>
            <w:proofErr w:type="spellStart"/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Правилами пользования услугой «Интернет-банкинг» клиентами ОАО «</w:t>
            </w:r>
            <w:proofErr w:type="spellStart"/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B6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порядком заключения договоров банковского вклада (депозита) путем акцепта публичной оферты (предложения) и существенными условиями договоров банковского вклада (депозита) при заключении их с использованием системы «Интернет-банкинг», принимаю их и обязуюсь выполнять в полном объеме. Карточки в неповрежденном виде получил(а):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B65080" w:rsidRPr="00B65080" w:rsidRDefault="00B65080" w:rsidP="00B65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B65080" w:rsidRPr="00B65080" w:rsidRDefault="00B65080" w:rsidP="00B65080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</w:t>
            </w:r>
            <w:proofErr w:type="gramStart"/>
            <w:r w:rsidRPr="00B65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):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______________/_______________________/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 20___ года</w:t>
            </w:r>
            <w:r w:rsidRPr="00B650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подпись                                                                                                       Фамилия И. О.</w:t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B650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дата заполнения</w:t>
            </w:r>
          </w:p>
        </w:tc>
      </w:tr>
    </w:tbl>
    <w:p w:rsidR="003C6396" w:rsidRDefault="00394106"/>
    <w:sectPr w:rsidR="003C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4EE"/>
    <w:multiLevelType w:val="hybridMultilevel"/>
    <w:tmpl w:val="D814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F"/>
    <w:rsid w:val="0002250B"/>
    <w:rsid w:val="00394106"/>
    <w:rsid w:val="00A8541F"/>
    <w:rsid w:val="00B145DB"/>
    <w:rsid w:val="00B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C4B1"/>
  <w15:chartTrackingRefBased/>
  <w15:docId w15:val="{F1257F1F-CB9A-4CC1-B76A-FF990DF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 А.С.</dc:creator>
  <cp:keywords/>
  <dc:description/>
  <cp:lastModifiedBy>Ковалевский А.С.</cp:lastModifiedBy>
  <cp:revision>3</cp:revision>
  <dcterms:created xsi:type="dcterms:W3CDTF">2024-03-25T15:17:00Z</dcterms:created>
  <dcterms:modified xsi:type="dcterms:W3CDTF">2024-03-26T06:28:00Z</dcterms:modified>
</cp:coreProperties>
</file>