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A0E5" w14:textId="77777777" w:rsidR="00C36DD9" w:rsidRPr="00C36DD9" w:rsidRDefault="00C36DD9" w:rsidP="00C36DD9">
      <w:pPr>
        <w:tabs>
          <w:tab w:val="left" w:pos="709"/>
          <w:tab w:val="left" w:pos="6804"/>
        </w:tabs>
        <w:spacing w:after="0" w:line="280" w:lineRule="exact"/>
        <w:ind w:left="5670"/>
        <w:jc w:val="both"/>
        <w:rPr>
          <w:rFonts w:ascii="Times New Roman" w:eastAsia="Times New Roman" w:hAnsi="Times New Roman"/>
          <w:sz w:val="28"/>
          <w:szCs w:val="28"/>
        </w:rPr>
      </w:pPr>
      <w:bookmarkStart w:id="0" w:name="_GoBack"/>
      <w:bookmarkEnd w:id="0"/>
      <w:r w:rsidRPr="00C36DD9">
        <w:rPr>
          <w:rFonts w:ascii="Times New Roman" w:eastAsia="Times New Roman" w:hAnsi="Times New Roman"/>
          <w:sz w:val="28"/>
          <w:szCs w:val="28"/>
        </w:rPr>
        <w:t>УТВЕРЖДЕНО</w:t>
      </w:r>
    </w:p>
    <w:p w14:paraId="37165BE4" w14:textId="77777777" w:rsidR="00C36DD9" w:rsidRPr="00C36DD9" w:rsidRDefault="00C36DD9" w:rsidP="00C36DD9">
      <w:pPr>
        <w:tabs>
          <w:tab w:val="left" w:pos="709"/>
          <w:tab w:val="left" w:pos="6804"/>
        </w:tabs>
        <w:spacing w:after="0" w:line="280" w:lineRule="exact"/>
        <w:ind w:left="5670"/>
        <w:jc w:val="both"/>
        <w:rPr>
          <w:rFonts w:ascii="Times New Roman" w:eastAsia="Times New Roman" w:hAnsi="Times New Roman"/>
          <w:sz w:val="28"/>
          <w:szCs w:val="28"/>
        </w:rPr>
      </w:pPr>
      <w:r w:rsidRPr="00C36DD9">
        <w:rPr>
          <w:rFonts w:ascii="Times New Roman" w:eastAsia="Times New Roman" w:hAnsi="Times New Roman"/>
          <w:sz w:val="28"/>
          <w:szCs w:val="28"/>
        </w:rPr>
        <w:t xml:space="preserve">Протокол комитета по управлению активами и пассивами </w:t>
      </w:r>
    </w:p>
    <w:p w14:paraId="6FD0067A" w14:textId="77777777" w:rsidR="00C36DD9" w:rsidRPr="00C36DD9" w:rsidRDefault="00C36DD9" w:rsidP="00C36DD9">
      <w:pPr>
        <w:tabs>
          <w:tab w:val="left" w:pos="709"/>
          <w:tab w:val="left" w:pos="6804"/>
        </w:tabs>
        <w:spacing w:after="0" w:line="280" w:lineRule="exact"/>
        <w:ind w:left="5670"/>
        <w:jc w:val="both"/>
        <w:rPr>
          <w:rFonts w:ascii="Times New Roman" w:eastAsia="Times New Roman" w:hAnsi="Times New Roman"/>
          <w:sz w:val="28"/>
          <w:szCs w:val="28"/>
        </w:rPr>
      </w:pPr>
      <w:r w:rsidRPr="00C36DD9">
        <w:rPr>
          <w:rFonts w:ascii="Times New Roman" w:eastAsia="Times New Roman" w:hAnsi="Times New Roman"/>
          <w:sz w:val="28"/>
          <w:szCs w:val="28"/>
        </w:rPr>
        <w:t>ОАО «Белагропромбанк»</w:t>
      </w:r>
    </w:p>
    <w:p w14:paraId="3A15C7B3" w14:textId="1A956F8F" w:rsidR="00A30432" w:rsidRPr="00C36DD9" w:rsidRDefault="00C36DD9" w:rsidP="00C36DD9">
      <w:pPr>
        <w:tabs>
          <w:tab w:val="left" w:pos="709"/>
          <w:tab w:val="left" w:pos="6804"/>
        </w:tabs>
        <w:spacing w:after="0" w:line="280" w:lineRule="exact"/>
        <w:ind w:left="5670"/>
        <w:jc w:val="both"/>
        <w:rPr>
          <w:rFonts w:ascii="Times New Roman" w:eastAsia="Times New Roman" w:hAnsi="Times New Roman"/>
          <w:sz w:val="28"/>
          <w:szCs w:val="28"/>
        </w:rPr>
      </w:pPr>
      <w:r w:rsidRPr="00C36DD9">
        <w:rPr>
          <w:rFonts w:ascii="Times New Roman" w:eastAsia="Times New Roman" w:hAnsi="Times New Roman"/>
          <w:sz w:val="28"/>
          <w:szCs w:val="28"/>
        </w:rPr>
        <w:t>27.11.2025 № 77</w:t>
      </w:r>
    </w:p>
    <w:p w14:paraId="24EC803E" w14:textId="77777777" w:rsidR="00C36DD9" w:rsidRPr="00C36DD9" w:rsidRDefault="00C36DD9" w:rsidP="00C36DD9">
      <w:pPr>
        <w:tabs>
          <w:tab w:val="left" w:pos="709"/>
          <w:tab w:val="left" w:pos="6804"/>
        </w:tabs>
        <w:spacing w:after="0" w:line="240" w:lineRule="auto"/>
        <w:rPr>
          <w:rFonts w:ascii="Times New Roman" w:eastAsia="Times New Roman" w:hAnsi="Times New Roman"/>
          <w:sz w:val="28"/>
          <w:szCs w:val="28"/>
        </w:rPr>
      </w:pPr>
    </w:p>
    <w:p w14:paraId="20009036" w14:textId="77777777" w:rsidR="00C36DD9" w:rsidRPr="00C36DD9" w:rsidRDefault="00C36DD9" w:rsidP="00C36DD9">
      <w:pPr>
        <w:tabs>
          <w:tab w:val="left" w:pos="709"/>
          <w:tab w:val="left" w:pos="6804"/>
        </w:tabs>
        <w:spacing w:after="0" w:line="280" w:lineRule="exact"/>
        <w:ind w:right="4321"/>
        <w:jc w:val="both"/>
        <w:rPr>
          <w:rFonts w:ascii="Times New Roman" w:eastAsia="Times New Roman" w:hAnsi="Times New Roman"/>
          <w:sz w:val="28"/>
          <w:szCs w:val="28"/>
        </w:rPr>
      </w:pPr>
      <w:r w:rsidRPr="00C36DD9">
        <w:rPr>
          <w:rFonts w:ascii="Times New Roman" w:eastAsia="Times New Roman" w:hAnsi="Times New Roman"/>
          <w:sz w:val="28"/>
          <w:szCs w:val="28"/>
        </w:rPr>
        <w:t>ИЗМЕНЕНИЯ</w:t>
      </w:r>
    </w:p>
    <w:p w14:paraId="50A9183F" w14:textId="77777777" w:rsidR="00C36DD9" w:rsidRPr="00C36DD9" w:rsidRDefault="00C36DD9" w:rsidP="00C36DD9">
      <w:pPr>
        <w:tabs>
          <w:tab w:val="left" w:pos="709"/>
          <w:tab w:val="left" w:pos="6804"/>
        </w:tabs>
        <w:spacing w:after="0" w:line="280" w:lineRule="exact"/>
        <w:ind w:right="4321"/>
        <w:jc w:val="both"/>
        <w:rPr>
          <w:rFonts w:ascii="Times New Roman" w:eastAsia="Times New Roman" w:hAnsi="Times New Roman"/>
          <w:sz w:val="28"/>
          <w:szCs w:val="28"/>
        </w:rPr>
      </w:pPr>
      <w:r w:rsidRPr="00C36DD9">
        <w:rPr>
          <w:rFonts w:ascii="Times New Roman" w:eastAsia="Times New Roman" w:hAnsi="Times New Roman"/>
          <w:sz w:val="28"/>
          <w:szCs w:val="28"/>
        </w:rPr>
        <w:t>в Сборник платы (вознаграждений)</w:t>
      </w:r>
    </w:p>
    <w:p w14:paraId="39B5527C" w14:textId="294695BD" w:rsidR="00A30432" w:rsidRPr="00C36DD9" w:rsidRDefault="00C36DD9" w:rsidP="00C36DD9">
      <w:pPr>
        <w:tabs>
          <w:tab w:val="left" w:pos="709"/>
          <w:tab w:val="left" w:pos="6804"/>
        </w:tabs>
        <w:spacing w:after="0" w:line="280" w:lineRule="exact"/>
        <w:ind w:right="4321"/>
        <w:jc w:val="both"/>
        <w:rPr>
          <w:rFonts w:ascii="Times New Roman" w:eastAsia="Times New Roman" w:hAnsi="Times New Roman"/>
          <w:sz w:val="28"/>
          <w:szCs w:val="28"/>
        </w:rPr>
      </w:pPr>
      <w:r w:rsidRPr="00C36DD9">
        <w:rPr>
          <w:rFonts w:ascii="Times New Roman" w:eastAsia="Times New Roman" w:hAnsi="Times New Roman"/>
          <w:sz w:val="28"/>
          <w:szCs w:val="28"/>
        </w:rPr>
        <w:t>за операции, осуществляемые ОАО</w:t>
      </w:r>
      <w:r>
        <w:rPr>
          <w:rFonts w:ascii="Times New Roman" w:eastAsia="Times New Roman" w:hAnsi="Times New Roman"/>
          <w:sz w:val="28"/>
          <w:szCs w:val="28"/>
          <w:lang w:val="en-US"/>
        </w:rPr>
        <w:t> </w:t>
      </w:r>
      <w:r w:rsidRPr="00C36DD9">
        <w:rPr>
          <w:rFonts w:ascii="Times New Roman" w:eastAsia="Times New Roman" w:hAnsi="Times New Roman"/>
          <w:sz w:val="28"/>
          <w:szCs w:val="28"/>
        </w:rPr>
        <w:t>«Белагропромбанк», утвержденный решением финансового комитета ОАО</w:t>
      </w:r>
      <w:r>
        <w:rPr>
          <w:rFonts w:ascii="Times New Roman" w:eastAsia="Times New Roman" w:hAnsi="Times New Roman"/>
          <w:sz w:val="28"/>
          <w:szCs w:val="28"/>
          <w:lang w:val="en-US"/>
        </w:rPr>
        <w:t> </w:t>
      </w:r>
      <w:r w:rsidRPr="00C36DD9">
        <w:rPr>
          <w:rFonts w:ascii="Times New Roman" w:eastAsia="Times New Roman" w:hAnsi="Times New Roman"/>
          <w:sz w:val="28"/>
          <w:szCs w:val="28"/>
        </w:rPr>
        <w:t>«Белагропромбанк» от 01.06.2016, протокол №102</w:t>
      </w:r>
    </w:p>
    <w:p w14:paraId="742D7C62" w14:textId="77777777" w:rsidR="00C36DD9" w:rsidRPr="00C36DD9" w:rsidRDefault="00C36DD9" w:rsidP="00A30432">
      <w:pPr>
        <w:tabs>
          <w:tab w:val="left" w:pos="709"/>
          <w:tab w:val="left" w:pos="6804"/>
        </w:tabs>
        <w:spacing w:after="0" w:line="240" w:lineRule="auto"/>
        <w:rPr>
          <w:rFonts w:ascii="Times New Roman" w:eastAsia="Times New Roman" w:hAnsi="Times New Roman"/>
          <w:sz w:val="28"/>
          <w:szCs w:val="28"/>
        </w:rPr>
      </w:pPr>
    </w:p>
    <w:p w14:paraId="2D8FF93B" w14:textId="49D855FB" w:rsidR="00C82D0F" w:rsidRPr="008F7257" w:rsidRDefault="00A30432" w:rsidP="00A30432">
      <w:pPr>
        <w:spacing w:after="0" w:line="240" w:lineRule="auto"/>
        <w:ind w:firstLine="709"/>
        <w:jc w:val="both"/>
        <w:textAlignment w:val="baseline"/>
        <w:rPr>
          <w:rFonts w:ascii="Times New Roman" w:eastAsia="Times New Roman" w:hAnsi="Times New Roman"/>
          <w:sz w:val="28"/>
          <w:szCs w:val="28"/>
          <w:lang w:eastAsia="ru-RU"/>
        </w:rPr>
      </w:pPr>
      <w:r w:rsidRPr="008F7257">
        <w:rPr>
          <w:rFonts w:ascii="Times New Roman" w:eastAsia="Times New Roman" w:hAnsi="Times New Roman"/>
          <w:sz w:val="28"/>
          <w:szCs w:val="28"/>
          <w:lang w:eastAsia="ru-RU"/>
        </w:rPr>
        <w:t xml:space="preserve">1.  </w:t>
      </w:r>
      <w:r w:rsidR="00C82D0F">
        <w:rPr>
          <w:rFonts w:ascii="Times New Roman" w:eastAsia="Times New Roman" w:hAnsi="Times New Roman"/>
          <w:sz w:val="28"/>
          <w:szCs w:val="28"/>
          <w:lang w:eastAsia="ru-RU"/>
        </w:rPr>
        <w:t xml:space="preserve">В </w:t>
      </w:r>
      <w:r w:rsidRPr="008F7257">
        <w:rPr>
          <w:rFonts w:ascii="Times New Roman" w:eastAsia="Times New Roman" w:hAnsi="Times New Roman"/>
          <w:sz w:val="28"/>
          <w:szCs w:val="28"/>
          <w:lang w:eastAsia="ru-RU"/>
        </w:rPr>
        <w:t>глав</w:t>
      </w:r>
      <w:r w:rsidR="00C82D0F">
        <w:rPr>
          <w:rFonts w:ascii="Times New Roman" w:eastAsia="Times New Roman" w:hAnsi="Times New Roman"/>
          <w:sz w:val="28"/>
          <w:szCs w:val="28"/>
          <w:lang w:eastAsia="ru-RU"/>
        </w:rPr>
        <w:t>е</w:t>
      </w:r>
      <w:r w:rsidRPr="008F7257">
        <w:rPr>
          <w:rFonts w:ascii="Times New Roman" w:eastAsia="Times New Roman" w:hAnsi="Times New Roman"/>
          <w:sz w:val="28"/>
          <w:szCs w:val="28"/>
          <w:lang w:eastAsia="ru-RU"/>
        </w:rPr>
        <w:t xml:space="preserve"> </w:t>
      </w:r>
      <w:r w:rsidRPr="008F7257">
        <w:rPr>
          <w:rFonts w:ascii="Times New Roman" w:eastAsia="Times New Roman" w:hAnsi="Times New Roman"/>
          <w:sz w:val="28"/>
          <w:szCs w:val="28"/>
          <w:lang w:val="en-US" w:eastAsia="ru-RU"/>
        </w:rPr>
        <w:t>II</w:t>
      </w:r>
      <w:r w:rsidR="00C82D0F">
        <w:rPr>
          <w:rFonts w:ascii="Times New Roman" w:eastAsia="Times New Roman" w:hAnsi="Times New Roman"/>
          <w:sz w:val="28"/>
          <w:szCs w:val="28"/>
          <w:lang w:eastAsia="ru-RU"/>
        </w:rPr>
        <w:t> в</w:t>
      </w:r>
      <w:r w:rsidR="00C82D0F" w:rsidRPr="008F7257">
        <w:rPr>
          <w:rFonts w:ascii="Times New Roman" w:eastAsia="Times New Roman" w:hAnsi="Times New Roman"/>
          <w:sz w:val="28"/>
          <w:szCs w:val="28"/>
          <w:lang w:eastAsia="ru-RU"/>
        </w:rPr>
        <w:t xml:space="preserve"> подразделе 7.4 раздела 7</w:t>
      </w:r>
      <w:r w:rsidR="00C82D0F">
        <w:rPr>
          <w:rFonts w:ascii="Times New Roman" w:eastAsia="Times New Roman" w:hAnsi="Times New Roman"/>
          <w:sz w:val="28"/>
          <w:szCs w:val="28"/>
          <w:lang w:eastAsia="ru-RU"/>
        </w:rPr>
        <w:t>:</w:t>
      </w:r>
    </w:p>
    <w:p w14:paraId="7BF4A133" w14:textId="77777777" w:rsidR="00A30432" w:rsidRPr="008D3283" w:rsidRDefault="00A30432" w:rsidP="00A30432">
      <w:pPr>
        <w:spacing w:after="0" w:line="240" w:lineRule="auto"/>
        <w:ind w:firstLine="709"/>
        <w:jc w:val="both"/>
        <w:textAlignment w:val="baseline"/>
        <w:rPr>
          <w:rFonts w:ascii="Times New Roman" w:eastAsia="Times New Roman" w:hAnsi="Times New Roman"/>
          <w:sz w:val="28"/>
          <w:szCs w:val="28"/>
          <w:lang w:eastAsia="ru-RU"/>
        </w:rPr>
      </w:pPr>
      <w:r w:rsidRPr="008F7257">
        <w:rPr>
          <w:rFonts w:ascii="Times New Roman" w:eastAsia="Times New Roman" w:hAnsi="Times New Roman"/>
          <w:sz w:val="28"/>
          <w:szCs w:val="28"/>
          <w:lang w:eastAsia="ru-RU"/>
        </w:rPr>
        <w:t>позиции 7.4.3 и 7.4.4 изложить в следующей редакции:</w:t>
      </w:r>
    </w:p>
    <w:p w14:paraId="0CCD8284" w14:textId="77777777" w:rsidR="00C36DD9" w:rsidRPr="008D3283" w:rsidRDefault="00C36DD9" w:rsidP="00A30432">
      <w:pPr>
        <w:spacing w:after="0" w:line="240" w:lineRule="auto"/>
        <w:ind w:firstLine="709"/>
        <w:jc w:val="both"/>
        <w:textAlignment w:val="baseline"/>
        <w:rPr>
          <w:rFonts w:ascii="Times New Roman" w:eastAsia="Times New Roman" w:hAnsi="Times New Roman"/>
          <w:sz w:val="16"/>
          <w:szCs w:val="16"/>
          <w:lang w:eastAsia="ru-RU"/>
        </w:rPr>
      </w:pPr>
    </w:p>
    <w:tbl>
      <w:tblPr>
        <w:tblStyle w:val="ae"/>
        <w:tblW w:w="0" w:type="auto"/>
        <w:tblLook w:val="04A0" w:firstRow="1" w:lastRow="0" w:firstColumn="1" w:lastColumn="0" w:noHBand="0" w:noVBand="1"/>
      </w:tblPr>
      <w:tblGrid>
        <w:gridCol w:w="1072"/>
        <w:gridCol w:w="3719"/>
        <w:gridCol w:w="2744"/>
        <w:gridCol w:w="1809"/>
      </w:tblGrid>
      <w:tr w:rsidR="00A30432" w:rsidRPr="008F7257" w14:paraId="1F097EB1" w14:textId="77777777" w:rsidTr="008D3283">
        <w:trPr>
          <w:trHeight w:val="238"/>
        </w:trPr>
        <w:tc>
          <w:tcPr>
            <w:tcW w:w="1088" w:type="dxa"/>
          </w:tcPr>
          <w:p w14:paraId="72D92B51"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«7.4.3.</w:t>
            </w:r>
          </w:p>
        </w:tc>
        <w:tc>
          <w:tcPr>
            <w:tcW w:w="3860" w:type="dxa"/>
          </w:tcPr>
          <w:p w14:paraId="105FC421"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 xml:space="preserve">Исполнение (частичное исполнение) сделки с ценными бумагами и иными финансовыми инструментами по распоряжению вверителя </w:t>
            </w:r>
            <w:r w:rsidRPr="00C36DD9">
              <w:rPr>
                <w:rFonts w:ascii="Times New Roman" w:hAnsi="Times New Roman"/>
                <w:sz w:val="24"/>
                <w:szCs w:val="24"/>
                <w:vertAlign w:val="superscript"/>
                <w:lang w:eastAsia="ru-RU"/>
              </w:rPr>
              <w:t>3</w:t>
            </w:r>
          </w:p>
        </w:tc>
        <w:tc>
          <w:tcPr>
            <w:tcW w:w="2844" w:type="dxa"/>
          </w:tcPr>
          <w:p w14:paraId="44F3E9A6" w14:textId="77777777" w:rsidR="00A30432" w:rsidRPr="00C36DD9" w:rsidRDefault="00A30432" w:rsidP="00C36DD9">
            <w:pPr>
              <w:spacing w:before="100" w:beforeAutospacing="1" w:afterAutospacing="1"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0,10 % от суммы сделки, но не менее 6,00 бел. руб. и не более 100,00 бел. руб. за исполнение (частичное исполнение) сделки (с НДС)</w:t>
            </w:r>
          </w:p>
        </w:tc>
        <w:tc>
          <w:tcPr>
            <w:tcW w:w="1835" w:type="dxa"/>
          </w:tcPr>
          <w:p w14:paraId="5C575FF7"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r w:rsidR="00A30432" w:rsidRPr="008F7257" w14:paraId="61C6A48E" w14:textId="77777777" w:rsidTr="008D3283">
        <w:trPr>
          <w:trHeight w:val="238"/>
        </w:trPr>
        <w:tc>
          <w:tcPr>
            <w:tcW w:w="1088" w:type="dxa"/>
          </w:tcPr>
          <w:p w14:paraId="4A4E1EB9"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7.4.4.</w:t>
            </w:r>
          </w:p>
        </w:tc>
        <w:tc>
          <w:tcPr>
            <w:tcW w:w="3860" w:type="dxa"/>
          </w:tcPr>
          <w:p w14:paraId="31FD718E"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Предоставление по запросу вверителя аналитической информации и / или инвестиционных / торговых идей (за 1 предоставление)</w:t>
            </w:r>
          </w:p>
        </w:tc>
        <w:tc>
          <w:tcPr>
            <w:tcW w:w="2844" w:type="dxa"/>
          </w:tcPr>
          <w:p w14:paraId="62FA1FF6" w14:textId="0B674FDC" w:rsidR="00A30432" w:rsidRPr="00C36DD9" w:rsidRDefault="00A30432" w:rsidP="00C36DD9">
            <w:pPr>
              <w:spacing w:before="100" w:beforeAutospacing="1" w:afterAutospacing="1"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20</w:t>
            </w:r>
            <w:r w:rsidR="00462109" w:rsidRPr="00C36DD9">
              <w:rPr>
                <w:rFonts w:ascii="Times New Roman" w:hAnsi="Times New Roman"/>
                <w:sz w:val="24"/>
                <w:szCs w:val="24"/>
                <w:lang w:eastAsia="ru-RU"/>
              </w:rPr>
              <w:t>,00</w:t>
            </w:r>
            <w:r w:rsidRPr="00C36DD9">
              <w:rPr>
                <w:rFonts w:ascii="Times New Roman" w:hAnsi="Times New Roman"/>
                <w:sz w:val="24"/>
                <w:szCs w:val="24"/>
                <w:lang w:eastAsia="ru-RU"/>
              </w:rPr>
              <w:t xml:space="preserve"> бел. руб. (с НДС)</w:t>
            </w:r>
          </w:p>
        </w:tc>
        <w:tc>
          <w:tcPr>
            <w:tcW w:w="1835" w:type="dxa"/>
          </w:tcPr>
          <w:p w14:paraId="30A9163B"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bl>
    <w:p w14:paraId="567378F7" w14:textId="77777777" w:rsidR="00C36DD9" w:rsidRPr="008D3283" w:rsidRDefault="00C36DD9" w:rsidP="00A30432">
      <w:pPr>
        <w:spacing w:after="0" w:line="240" w:lineRule="auto"/>
        <w:ind w:firstLine="709"/>
        <w:jc w:val="both"/>
        <w:textAlignment w:val="baseline"/>
        <w:rPr>
          <w:rFonts w:ascii="Times New Roman" w:eastAsia="Times New Roman" w:hAnsi="Times New Roman"/>
          <w:sz w:val="16"/>
          <w:szCs w:val="16"/>
          <w:lang w:eastAsia="ru-RU"/>
        </w:rPr>
      </w:pPr>
    </w:p>
    <w:p w14:paraId="541FB278" w14:textId="695AAB88" w:rsidR="00A30432" w:rsidRPr="008D3283" w:rsidRDefault="00A30432" w:rsidP="00A30432">
      <w:pPr>
        <w:spacing w:after="0" w:line="240" w:lineRule="auto"/>
        <w:ind w:firstLine="709"/>
        <w:jc w:val="both"/>
        <w:textAlignment w:val="baseline"/>
        <w:rPr>
          <w:rFonts w:ascii="Times New Roman" w:eastAsia="Times New Roman" w:hAnsi="Times New Roman"/>
          <w:sz w:val="28"/>
          <w:szCs w:val="28"/>
          <w:lang w:eastAsia="ru-RU"/>
        </w:rPr>
      </w:pPr>
      <w:r w:rsidRPr="008F7257">
        <w:rPr>
          <w:rFonts w:ascii="Times New Roman" w:eastAsia="Times New Roman" w:hAnsi="Times New Roman"/>
          <w:sz w:val="28"/>
          <w:szCs w:val="28"/>
          <w:lang w:eastAsia="ru-RU"/>
        </w:rPr>
        <w:t>дополнить позициями 7.4.5, 7.4.6 и 7.4.7 следующе</w:t>
      </w:r>
      <w:r w:rsidR="0019113F">
        <w:rPr>
          <w:rFonts w:ascii="Times New Roman" w:eastAsia="Times New Roman" w:hAnsi="Times New Roman"/>
          <w:sz w:val="28"/>
          <w:szCs w:val="28"/>
          <w:lang w:eastAsia="ru-RU"/>
        </w:rPr>
        <w:t>го</w:t>
      </w:r>
      <w:r w:rsidRPr="008F7257">
        <w:rPr>
          <w:rFonts w:ascii="Times New Roman" w:eastAsia="Times New Roman" w:hAnsi="Times New Roman"/>
          <w:sz w:val="28"/>
          <w:szCs w:val="28"/>
          <w:lang w:eastAsia="ru-RU"/>
        </w:rPr>
        <w:t xml:space="preserve"> </w:t>
      </w:r>
      <w:r w:rsidR="0019113F">
        <w:rPr>
          <w:rFonts w:ascii="Times New Roman" w:eastAsia="Times New Roman" w:hAnsi="Times New Roman"/>
          <w:sz w:val="28"/>
          <w:szCs w:val="28"/>
          <w:lang w:eastAsia="ru-RU"/>
        </w:rPr>
        <w:t>содержания</w:t>
      </w:r>
      <w:r w:rsidRPr="008F7257">
        <w:rPr>
          <w:rFonts w:ascii="Times New Roman" w:eastAsia="Times New Roman" w:hAnsi="Times New Roman"/>
          <w:sz w:val="28"/>
          <w:szCs w:val="28"/>
          <w:lang w:eastAsia="ru-RU"/>
        </w:rPr>
        <w:t>:</w:t>
      </w:r>
    </w:p>
    <w:p w14:paraId="0AC9426C" w14:textId="77777777" w:rsidR="00C36DD9" w:rsidRPr="008D3283" w:rsidRDefault="00C36DD9" w:rsidP="00A30432">
      <w:pPr>
        <w:spacing w:after="0" w:line="240" w:lineRule="auto"/>
        <w:ind w:firstLine="709"/>
        <w:jc w:val="both"/>
        <w:textAlignment w:val="baseline"/>
        <w:rPr>
          <w:rFonts w:ascii="Times New Roman" w:eastAsia="Times New Roman" w:hAnsi="Times New Roman"/>
          <w:sz w:val="16"/>
          <w:szCs w:val="16"/>
          <w:lang w:eastAsia="ru-RU"/>
        </w:rPr>
      </w:pPr>
    </w:p>
    <w:tbl>
      <w:tblPr>
        <w:tblStyle w:val="ae"/>
        <w:tblW w:w="0" w:type="auto"/>
        <w:tblLook w:val="04A0" w:firstRow="1" w:lastRow="0" w:firstColumn="1" w:lastColumn="0" w:noHBand="0" w:noVBand="1"/>
      </w:tblPr>
      <w:tblGrid>
        <w:gridCol w:w="981"/>
        <w:gridCol w:w="3703"/>
        <w:gridCol w:w="1518"/>
        <w:gridCol w:w="3142"/>
      </w:tblGrid>
      <w:tr w:rsidR="00A30432" w:rsidRPr="008F7257" w14:paraId="1A919026" w14:textId="77777777" w:rsidTr="008D3283">
        <w:trPr>
          <w:trHeight w:val="238"/>
        </w:trPr>
        <w:tc>
          <w:tcPr>
            <w:tcW w:w="988" w:type="dxa"/>
          </w:tcPr>
          <w:p w14:paraId="5F0E8AF8"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«7.4.5.</w:t>
            </w:r>
          </w:p>
        </w:tc>
        <w:tc>
          <w:tcPr>
            <w:tcW w:w="3825" w:type="dxa"/>
          </w:tcPr>
          <w:p w14:paraId="4BF64314"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Предоставление по запросу вверителя внепланового отчета Доверительного управляющего</w:t>
            </w:r>
          </w:p>
        </w:tc>
        <w:tc>
          <w:tcPr>
            <w:tcW w:w="1561" w:type="dxa"/>
          </w:tcPr>
          <w:p w14:paraId="41784130"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50,00 бел. руб. (с НДС)</w:t>
            </w:r>
          </w:p>
        </w:tc>
        <w:tc>
          <w:tcPr>
            <w:tcW w:w="3253" w:type="dxa"/>
          </w:tcPr>
          <w:p w14:paraId="3D69AFFF"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r w:rsidR="00A30432" w:rsidRPr="008F7257" w14:paraId="0A2036D5" w14:textId="77777777" w:rsidTr="008D3283">
        <w:trPr>
          <w:trHeight w:val="238"/>
        </w:trPr>
        <w:tc>
          <w:tcPr>
            <w:tcW w:w="988" w:type="dxa"/>
          </w:tcPr>
          <w:p w14:paraId="5D53B25B"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7.4.6.</w:t>
            </w:r>
          </w:p>
        </w:tc>
        <w:tc>
          <w:tcPr>
            <w:tcW w:w="3825" w:type="dxa"/>
          </w:tcPr>
          <w:p w14:paraId="6EEE41DF"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Предоставление по запросу вверителя справки / письма об активах вверителя</w:t>
            </w:r>
          </w:p>
        </w:tc>
        <w:tc>
          <w:tcPr>
            <w:tcW w:w="1561" w:type="dxa"/>
          </w:tcPr>
          <w:p w14:paraId="4561E8AB"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50,00 бел. руб. (с НДС)</w:t>
            </w:r>
          </w:p>
        </w:tc>
        <w:tc>
          <w:tcPr>
            <w:tcW w:w="3253" w:type="dxa"/>
          </w:tcPr>
          <w:p w14:paraId="5827CE3F"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r w:rsidR="00A30432" w:rsidRPr="008F7257" w14:paraId="3B65F29A" w14:textId="77777777" w:rsidTr="008D3283">
        <w:trPr>
          <w:trHeight w:val="238"/>
        </w:trPr>
        <w:tc>
          <w:tcPr>
            <w:tcW w:w="988" w:type="dxa"/>
          </w:tcPr>
          <w:p w14:paraId="10E44B18"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7.4.7.</w:t>
            </w:r>
          </w:p>
        </w:tc>
        <w:tc>
          <w:tcPr>
            <w:tcW w:w="3825" w:type="dxa"/>
          </w:tcPr>
          <w:p w14:paraId="212196A9"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Участие доверительного управляющего в корпоративном событии с ценными бумагами по инициативе вверителя</w:t>
            </w:r>
          </w:p>
        </w:tc>
        <w:tc>
          <w:tcPr>
            <w:tcW w:w="1561" w:type="dxa"/>
          </w:tcPr>
          <w:p w14:paraId="209D9B0D"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100,00 бел. руб. (с НДС)</w:t>
            </w:r>
          </w:p>
        </w:tc>
        <w:tc>
          <w:tcPr>
            <w:tcW w:w="3253" w:type="dxa"/>
          </w:tcPr>
          <w:p w14:paraId="59520A67"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bl>
    <w:p w14:paraId="0C60C7BB" w14:textId="77777777" w:rsidR="00C36DD9" w:rsidRPr="008D3283" w:rsidRDefault="00C36DD9" w:rsidP="00A30432">
      <w:pPr>
        <w:spacing w:after="0" w:line="240" w:lineRule="auto"/>
        <w:ind w:firstLine="709"/>
        <w:jc w:val="both"/>
        <w:textAlignment w:val="baseline"/>
        <w:rPr>
          <w:rFonts w:ascii="Times New Roman" w:eastAsia="Times New Roman" w:hAnsi="Times New Roman"/>
          <w:sz w:val="16"/>
          <w:szCs w:val="16"/>
          <w:lang w:eastAsia="ru-RU"/>
        </w:rPr>
      </w:pPr>
    </w:p>
    <w:p w14:paraId="3EBC86FB" w14:textId="6605ECF8" w:rsidR="00A30432" w:rsidRPr="008D3283" w:rsidRDefault="00A30432" w:rsidP="00A30432">
      <w:pPr>
        <w:spacing w:after="0" w:line="240" w:lineRule="auto"/>
        <w:ind w:firstLine="709"/>
        <w:jc w:val="both"/>
        <w:textAlignment w:val="baseline"/>
        <w:rPr>
          <w:rFonts w:ascii="Times New Roman" w:eastAsia="Times New Roman" w:hAnsi="Times New Roman"/>
          <w:sz w:val="28"/>
          <w:szCs w:val="28"/>
          <w:lang w:eastAsia="ru-RU"/>
        </w:rPr>
      </w:pPr>
      <w:r w:rsidRPr="008F7257">
        <w:rPr>
          <w:rFonts w:ascii="Times New Roman" w:eastAsia="Times New Roman" w:hAnsi="Times New Roman"/>
          <w:sz w:val="28"/>
          <w:szCs w:val="28"/>
          <w:lang w:eastAsia="ru-RU"/>
        </w:rPr>
        <w:t xml:space="preserve">дополнить позицию «Примечания к </w:t>
      </w:r>
      <w:r>
        <w:rPr>
          <w:rFonts w:ascii="Times New Roman" w:eastAsia="Times New Roman" w:hAnsi="Times New Roman"/>
          <w:sz w:val="28"/>
          <w:szCs w:val="28"/>
          <w:lang w:eastAsia="ru-RU"/>
        </w:rPr>
        <w:t>под</w:t>
      </w:r>
      <w:r w:rsidRPr="008F7257">
        <w:rPr>
          <w:rFonts w:ascii="Times New Roman" w:eastAsia="Times New Roman" w:hAnsi="Times New Roman"/>
          <w:sz w:val="28"/>
          <w:szCs w:val="28"/>
          <w:lang w:eastAsia="ru-RU"/>
        </w:rPr>
        <w:t xml:space="preserve">разделу </w:t>
      </w:r>
      <w:r>
        <w:rPr>
          <w:rFonts w:ascii="Times New Roman" w:eastAsia="Times New Roman" w:hAnsi="Times New Roman"/>
          <w:sz w:val="28"/>
          <w:szCs w:val="28"/>
          <w:lang w:eastAsia="ru-RU"/>
        </w:rPr>
        <w:t>7.4</w:t>
      </w:r>
      <w:r w:rsidRPr="008F7257">
        <w:rPr>
          <w:rFonts w:ascii="Times New Roman" w:eastAsia="Times New Roman" w:hAnsi="Times New Roman"/>
          <w:sz w:val="28"/>
          <w:szCs w:val="28"/>
          <w:lang w:eastAsia="ru-RU"/>
        </w:rPr>
        <w:t xml:space="preserve">» пунктом 3 </w:t>
      </w:r>
      <w:r w:rsidR="0019113F">
        <w:rPr>
          <w:rFonts w:ascii="Times New Roman" w:eastAsia="Times New Roman" w:hAnsi="Times New Roman"/>
          <w:sz w:val="28"/>
          <w:szCs w:val="28"/>
          <w:lang w:eastAsia="ru-RU"/>
        </w:rPr>
        <w:t>следующего содержания</w:t>
      </w:r>
      <w:r w:rsidRPr="008F7257">
        <w:rPr>
          <w:rFonts w:ascii="Times New Roman" w:eastAsia="Times New Roman" w:hAnsi="Times New Roman"/>
          <w:sz w:val="28"/>
          <w:szCs w:val="28"/>
          <w:lang w:eastAsia="ru-RU"/>
        </w:rPr>
        <w:t>:</w:t>
      </w:r>
    </w:p>
    <w:p w14:paraId="266AB728" w14:textId="77777777" w:rsidR="00C36DD9" w:rsidRPr="008D3283" w:rsidRDefault="00C36DD9" w:rsidP="00A30432">
      <w:pPr>
        <w:spacing w:after="0" w:line="240" w:lineRule="auto"/>
        <w:ind w:firstLine="709"/>
        <w:jc w:val="both"/>
        <w:textAlignment w:val="baseline"/>
        <w:rPr>
          <w:rFonts w:ascii="Times New Roman" w:eastAsia="Times New Roman" w:hAnsi="Times New Roman"/>
          <w:sz w:val="16"/>
          <w:szCs w:val="16"/>
          <w:lang w:eastAsia="ru-RU"/>
        </w:rPr>
      </w:pPr>
    </w:p>
    <w:tbl>
      <w:tblPr>
        <w:tblStyle w:val="ae"/>
        <w:tblW w:w="0" w:type="auto"/>
        <w:tblLook w:val="04A0" w:firstRow="1" w:lastRow="0" w:firstColumn="1" w:lastColumn="0" w:noHBand="0" w:noVBand="1"/>
      </w:tblPr>
      <w:tblGrid>
        <w:gridCol w:w="696"/>
        <w:gridCol w:w="8648"/>
      </w:tblGrid>
      <w:tr w:rsidR="00A30432" w:rsidRPr="008F7257" w14:paraId="56988182" w14:textId="77777777" w:rsidTr="00C36DD9">
        <w:trPr>
          <w:trHeight w:val="3381"/>
        </w:trPr>
        <w:tc>
          <w:tcPr>
            <w:tcW w:w="704" w:type="dxa"/>
          </w:tcPr>
          <w:p w14:paraId="619317C2"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lastRenderedPageBreak/>
              <w:t>«3.</w:t>
            </w:r>
          </w:p>
        </w:tc>
        <w:tc>
          <w:tcPr>
            <w:tcW w:w="8923" w:type="dxa"/>
          </w:tcPr>
          <w:p w14:paraId="63035FBE" w14:textId="151587B3"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Плата по п.</w:t>
            </w:r>
            <w:r w:rsidR="008D3283">
              <w:rPr>
                <w:rFonts w:ascii="Times New Roman" w:hAnsi="Times New Roman"/>
                <w:sz w:val="24"/>
                <w:szCs w:val="24"/>
                <w:lang w:eastAsia="ru-RU"/>
              </w:rPr>
              <w:t> </w:t>
            </w:r>
            <w:r w:rsidRPr="00C36DD9">
              <w:rPr>
                <w:rFonts w:ascii="Times New Roman" w:hAnsi="Times New Roman"/>
                <w:sz w:val="24"/>
                <w:szCs w:val="24"/>
                <w:lang w:eastAsia="ru-RU"/>
              </w:rPr>
              <w:t>7.4.3 взимается за исполнение (частичное исполнение) сделки с ценными бумагами и иными финансовыми инструментами по инициативе вверителя:</w:t>
            </w:r>
          </w:p>
          <w:p w14:paraId="137CD5F1"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в рамках одного распоряжения;</w:t>
            </w:r>
          </w:p>
          <w:p w14:paraId="372830D4"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по одному ISIN ценной бумаги или коду иного финансового инструмента;</w:t>
            </w:r>
          </w:p>
          <w:p w14:paraId="1BE60A49"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за каждый торговый день, в котором исполняется (частично исполняется) сделка;</w:t>
            </w:r>
          </w:p>
          <w:p w14:paraId="6325611E"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по одному виду сделки (покупка / продажа / иная).</w:t>
            </w:r>
          </w:p>
          <w:p w14:paraId="2C0BAA7E" w14:textId="3F4BF10E"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В случае если поданная ОАО «Белагропромбанк» заявка на совершение сделки на организованном рынке в рамках одного распоряжения вверителя была удовлетворена несколькими участниками рынка, то в целях расчета платы по п.</w:t>
            </w:r>
            <w:r w:rsidR="008D3283">
              <w:rPr>
                <w:rFonts w:ascii="Times New Roman" w:hAnsi="Times New Roman"/>
                <w:sz w:val="24"/>
                <w:szCs w:val="24"/>
                <w:lang w:eastAsia="ru-RU"/>
              </w:rPr>
              <w:t> </w:t>
            </w:r>
            <w:r w:rsidRPr="00C36DD9">
              <w:rPr>
                <w:rFonts w:ascii="Times New Roman" w:hAnsi="Times New Roman"/>
                <w:sz w:val="24"/>
                <w:szCs w:val="24"/>
                <w:lang w:eastAsia="ru-RU"/>
              </w:rPr>
              <w:t>7.4.3 заключенные сделки рассматриваются как единая сделка, а суммы таких сделок объединяются в единое значение.»</w:t>
            </w:r>
            <w:r w:rsidR="008D3283">
              <w:rPr>
                <w:rFonts w:ascii="Times New Roman" w:hAnsi="Times New Roman"/>
                <w:sz w:val="24"/>
                <w:szCs w:val="24"/>
                <w:lang w:eastAsia="ru-RU"/>
              </w:rPr>
              <w:t>.</w:t>
            </w:r>
          </w:p>
        </w:tc>
      </w:tr>
    </w:tbl>
    <w:p w14:paraId="33AD3AFC" w14:textId="77777777" w:rsidR="00A30432" w:rsidRPr="00C36DD9" w:rsidRDefault="00A30432" w:rsidP="00A30432">
      <w:pPr>
        <w:spacing w:after="0" w:line="240" w:lineRule="auto"/>
        <w:ind w:firstLine="709"/>
        <w:jc w:val="both"/>
        <w:textAlignment w:val="baseline"/>
        <w:rPr>
          <w:rFonts w:ascii="Times New Roman" w:eastAsia="Times New Roman" w:hAnsi="Times New Roman"/>
          <w:sz w:val="16"/>
          <w:szCs w:val="16"/>
          <w:lang w:eastAsia="ru-RU"/>
        </w:rPr>
      </w:pPr>
    </w:p>
    <w:p w14:paraId="17BC9876" w14:textId="77777777" w:rsidR="00A30432" w:rsidRPr="008F7257" w:rsidRDefault="00A30432" w:rsidP="00A30432">
      <w:pPr>
        <w:spacing w:after="0" w:line="240" w:lineRule="auto"/>
        <w:ind w:firstLine="709"/>
        <w:jc w:val="both"/>
        <w:textAlignment w:val="baseline"/>
        <w:rPr>
          <w:rFonts w:ascii="Times New Roman" w:eastAsia="Times New Roman" w:hAnsi="Times New Roman"/>
          <w:sz w:val="28"/>
          <w:szCs w:val="28"/>
          <w:lang w:eastAsia="ru-RU"/>
        </w:rPr>
      </w:pPr>
      <w:r w:rsidRPr="008F7257">
        <w:rPr>
          <w:rFonts w:ascii="Times New Roman" w:eastAsia="Times New Roman" w:hAnsi="Times New Roman"/>
          <w:sz w:val="28"/>
          <w:szCs w:val="28"/>
          <w:lang w:eastAsia="ru-RU"/>
        </w:rPr>
        <w:t xml:space="preserve">2. В подразделе 15.3 раздела 15 главы </w:t>
      </w:r>
      <w:r w:rsidRPr="008F7257">
        <w:rPr>
          <w:rFonts w:ascii="Times New Roman" w:eastAsia="Times New Roman" w:hAnsi="Times New Roman"/>
          <w:sz w:val="28"/>
          <w:szCs w:val="28"/>
          <w:lang w:val="en-US" w:eastAsia="ru-RU"/>
        </w:rPr>
        <w:t>III</w:t>
      </w:r>
      <w:r w:rsidRPr="008F7257">
        <w:rPr>
          <w:rFonts w:ascii="Times New Roman" w:eastAsia="Times New Roman" w:hAnsi="Times New Roman"/>
          <w:sz w:val="28"/>
          <w:szCs w:val="28"/>
          <w:lang w:eastAsia="ru-RU"/>
        </w:rPr>
        <w:t>:</w:t>
      </w:r>
    </w:p>
    <w:p w14:paraId="3931A236" w14:textId="77777777" w:rsidR="00A30432" w:rsidRDefault="00A30432" w:rsidP="00A30432">
      <w:pPr>
        <w:spacing w:after="0" w:line="240" w:lineRule="auto"/>
        <w:ind w:firstLine="709"/>
        <w:jc w:val="both"/>
        <w:textAlignment w:val="baseline"/>
        <w:rPr>
          <w:rFonts w:ascii="Times New Roman" w:eastAsia="Times New Roman" w:hAnsi="Times New Roman"/>
          <w:sz w:val="28"/>
          <w:szCs w:val="28"/>
          <w:lang w:eastAsia="ru-RU"/>
        </w:rPr>
      </w:pPr>
      <w:r w:rsidRPr="008F7257">
        <w:rPr>
          <w:rFonts w:ascii="Times New Roman" w:eastAsia="Times New Roman" w:hAnsi="Times New Roman"/>
          <w:sz w:val="28"/>
          <w:szCs w:val="28"/>
          <w:lang w:eastAsia="ru-RU"/>
        </w:rPr>
        <w:t>позиции 1</w:t>
      </w:r>
      <w:r>
        <w:rPr>
          <w:rFonts w:ascii="Times New Roman" w:eastAsia="Times New Roman" w:hAnsi="Times New Roman"/>
          <w:sz w:val="28"/>
          <w:szCs w:val="28"/>
          <w:lang w:eastAsia="ru-RU"/>
        </w:rPr>
        <w:t>5</w:t>
      </w:r>
      <w:r w:rsidRPr="008F7257">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8F7257">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8F7257">
        <w:rPr>
          <w:rFonts w:ascii="Times New Roman" w:eastAsia="Times New Roman" w:hAnsi="Times New Roman"/>
          <w:sz w:val="28"/>
          <w:szCs w:val="28"/>
          <w:lang w:eastAsia="ru-RU"/>
        </w:rPr>
        <w:t xml:space="preserve"> и 1</w:t>
      </w:r>
      <w:r>
        <w:rPr>
          <w:rFonts w:ascii="Times New Roman" w:eastAsia="Times New Roman" w:hAnsi="Times New Roman"/>
          <w:sz w:val="28"/>
          <w:szCs w:val="28"/>
          <w:lang w:eastAsia="ru-RU"/>
        </w:rPr>
        <w:t>5</w:t>
      </w:r>
      <w:r w:rsidRPr="008F7257">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8F7257">
        <w:rPr>
          <w:rFonts w:ascii="Times New Roman" w:eastAsia="Times New Roman" w:hAnsi="Times New Roman"/>
          <w:sz w:val="28"/>
          <w:szCs w:val="28"/>
          <w:lang w:eastAsia="ru-RU"/>
        </w:rPr>
        <w:t>.4 изложить в следующей редакции:</w:t>
      </w:r>
    </w:p>
    <w:p w14:paraId="399316ED" w14:textId="77777777" w:rsidR="00372D6B" w:rsidRPr="00C36DD9" w:rsidRDefault="00372D6B" w:rsidP="00A30432">
      <w:pPr>
        <w:spacing w:after="0" w:line="240" w:lineRule="auto"/>
        <w:ind w:firstLine="709"/>
        <w:jc w:val="both"/>
        <w:textAlignment w:val="baseline"/>
        <w:rPr>
          <w:rFonts w:ascii="Times New Roman" w:eastAsia="Times New Roman" w:hAnsi="Times New Roman"/>
          <w:sz w:val="16"/>
          <w:szCs w:val="16"/>
          <w:lang w:eastAsia="ru-RU"/>
        </w:rPr>
      </w:pPr>
    </w:p>
    <w:tbl>
      <w:tblPr>
        <w:tblStyle w:val="ae"/>
        <w:tblW w:w="0" w:type="auto"/>
        <w:tblLook w:val="04A0" w:firstRow="1" w:lastRow="0" w:firstColumn="1" w:lastColumn="0" w:noHBand="0" w:noVBand="1"/>
      </w:tblPr>
      <w:tblGrid>
        <w:gridCol w:w="1156"/>
        <w:gridCol w:w="3072"/>
        <w:gridCol w:w="3441"/>
        <w:gridCol w:w="1675"/>
      </w:tblGrid>
      <w:tr w:rsidR="00A30432" w:rsidRPr="008F7257" w14:paraId="2F64C986" w14:textId="77777777" w:rsidTr="008D3283">
        <w:trPr>
          <w:trHeight w:val="238"/>
        </w:trPr>
        <w:tc>
          <w:tcPr>
            <w:tcW w:w="1169" w:type="dxa"/>
          </w:tcPr>
          <w:p w14:paraId="4028C610"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«15.3.3.</w:t>
            </w:r>
          </w:p>
        </w:tc>
        <w:tc>
          <w:tcPr>
            <w:tcW w:w="3165" w:type="dxa"/>
          </w:tcPr>
          <w:p w14:paraId="7743227C" w14:textId="5F6B8AA4"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Исполнение (частичное исполнение) сделки с ценными бумагами и иными финансовыми инструментами по распоряжению вверителя</w:t>
            </w:r>
            <w:r w:rsidRPr="00C36DD9">
              <w:rPr>
                <w:rFonts w:ascii="Times New Roman" w:hAnsi="Times New Roman"/>
                <w:sz w:val="24"/>
                <w:szCs w:val="24"/>
                <w:vertAlign w:val="superscript"/>
                <w:lang w:eastAsia="ru-RU"/>
              </w:rPr>
              <w:t>3</w:t>
            </w:r>
          </w:p>
        </w:tc>
        <w:tc>
          <w:tcPr>
            <w:tcW w:w="3602" w:type="dxa"/>
          </w:tcPr>
          <w:p w14:paraId="658EE49B"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0,10 % от суммы сделки, но не менее 6,00 бел. руб. и не более 100,00 бел. руб. за исполнение (частичное исполнение) сделки (с НДС)</w:t>
            </w:r>
          </w:p>
        </w:tc>
        <w:tc>
          <w:tcPr>
            <w:tcW w:w="1691" w:type="dxa"/>
          </w:tcPr>
          <w:p w14:paraId="35E50E5D"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r w:rsidR="00A30432" w:rsidRPr="008F7257" w14:paraId="02E162BC" w14:textId="77777777" w:rsidTr="008D3283">
        <w:trPr>
          <w:trHeight w:val="238"/>
        </w:trPr>
        <w:tc>
          <w:tcPr>
            <w:tcW w:w="1169" w:type="dxa"/>
          </w:tcPr>
          <w:p w14:paraId="4893D4F3"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15.3.4.</w:t>
            </w:r>
          </w:p>
        </w:tc>
        <w:tc>
          <w:tcPr>
            <w:tcW w:w="3165" w:type="dxa"/>
          </w:tcPr>
          <w:p w14:paraId="6A5D3BC0"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Предоставление по запросу вверителя аналитической информации и / или инвестиционных / торговых идей (за 1 предоставление)</w:t>
            </w:r>
          </w:p>
        </w:tc>
        <w:tc>
          <w:tcPr>
            <w:tcW w:w="3602" w:type="dxa"/>
          </w:tcPr>
          <w:p w14:paraId="15CA2DE9" w14:textId="7EFA6483" w:rsidR="00A30432" w:rsidRPr="00C36DD9" w:rsidRDefault="00A30432" w:rsidP="00C36DD9">
            <w:pPr>
              <w:spacing w:line="240" w:lineRule="auto"/>
              <w:jc w:val="both"/>
              <w:textAlignment w:val="baseline"/>
              <w:rPr>
                <w:rFonts w:ascii="Times New Roman" w:hAnsi="Times New Roman"/>
                <w:sz w:val="24"/>
                <w:szCs w:val="24"/>
                <w:lang w:val="en-US" w:eastAsia="ru-RU"/>
              </w:rPr>
            </w:pPr>
            <w:r w:rsidRPr="00C36DD9">
              <w:rPr>
                <w:rFonts w:ascii="Times New Roman" w:hAnsi="Times New Roman"/>
                <w:sz w:val="24"/>
                <w:szCs w:val="24"/>
                <w:lang w:eastAsia="ru-RU"/>
              </w:rPr>
              <w:t>20</w:t>
            </w:r>
            <w:r w:rsidR="00462109" w:rsidRPr="00C36DD9">
              <w:rPr>
                <w:rFonts w:ascii="Times New Roman" w:hAnsi="Times New Roman"/>
                <w:sz w:val="24"/>
                <w:szCs w:val="24"/>
                <w:lang w:eastAsia="ru-RU"/>
              </w:rPr>
              <w:t>,00</w:t>
            </w:r>
            <w:r w:rsidRPr="00C36DD9">
              <w:rPr>
                <w:rFonts w:ascii="Times New Roman" w:hAnsi="Times New Roman"/>
                <w:sz w:val="24"/>
                <w:szCs w:val="24"/>
                <w:lang w:eastAsia="ru-RU"/>
              </w:rPr>
              <w:t xml:space="preserve"> бел. руб. (с НДС)</w:t>
            </w:r>
          </w:p>
        </w:tc>
        <w:tc>
          <w:tcPr>
            <w:tcW w:w="1691" w:type="dxa"/>
          </w:tcPr>
          <w:p w14:paraId="08501279"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bl>
    <w:p w14:paraId="1B95714F" w14:textId="77777777" w:rsidR="00A30432" w:rsidRPr="00C36DD9" w:rsidRDefault="00A30432" w:rsidP="00A30432">
      <w:pPr>
        <w:spacing w:after="0" w:line="240" w:lineRule="auto"/>
        <w:ind w:firstLine="709"/>
        <w:jc w:val="both"/>
        <w:textAlignment w:val="baseline"/>
        <w:rPr>
          <w:rFonts w:ascii="Times New Roman" w:eastAsia="Times New Roman" w:hAnsi="Times New Roman"/>
          <w:sz w:val="16"/>
          <w:szCs w:val="16"/>
          <w:lang w:eastAsia="ru-RU"/>
        </w:rPr>
      </w:pPr>
    </w:p>
    <w:p w14:paraId="4F28A138" w14:textId="088BC2F7" w:rsidR="00A30432" w:rsidRPr="008D3283" w:rsidRDefault="00A30432" w:rsidP="00A30432">
      <w:pPr>
        <w:spacing w:after="0" w:line="240" w:lineRule="auto"/>
        <w:ind w:firstLine="709"/>
        <w:jc w:val="both"/>
        <w:textAlignment w:val="baseline"/>
        <w:rPr>
          <w:rFonts w:ascii="Times New Roman" w:eastAsia="Times New Roman" w:hAnsi="Times New Roman"/>
          <w:sz w:val="28"/>
          <w:szCs w:val="28"/>
          <w:lang w:eastAsia="ru-RU"/>
        </w:rPr>
      </w:pPr>
      <w:r w:rsidRPr="008F7257">
        <w:rPr>
          <w:rFonts w:ascii="Times New Roman" w:eastAsia="Times New Roman" w:hAnsi="Times New Roman"/>
          <w:sz w:val="28"/>
          <w:szCs w:val="28"/>
          <w:lang w:eastAsia="ru-RU"/>
        </w:rPr>
        <w:t>дополнить позициями 15.3.5, 15.3.6 и 15.3.7 следующе</w:t>
      </w:r>
      <w:r w:rsidR="0019113F">
        <w:rPr>
          <w:rFonts w:ascii="Times New Roman" w:eastAsia="Times New Roman" w:hAnsi="Times New Roman"/>
          <w:sz w:val="28"/>
          <w:szCs w:val="28"/>
          <w:lang w:eastAsia="ru-RU"/>
        </w:rPr>
        <w:t>го</w:t>
      </w:r>
      <w:r w:rsidRPr="008F7257">
        <w:rPr>
          <w:rFonts w:ascii="Times New Roman" w:eastAsia="Times New Roman" w:hAnsi="Times New Roman"/>
          <w:sz w:val="28"/>
          <w:szCs w:val="28"/>
          <w:lang w:eastAsia="ru-RU"/>
        </w:rPr>
        <w:t xml:space="preserve"> </w:t>
      </w:r>
      <w:r w:rsidR="0019113F">
        <w:rPr>
          <w:rFonts w:ascii="Times New Roman" w:eastAsia="Times New Roman" w:hAnsi="Times New Roman"/>
          <w:sz w:val="28"/>
          <w:szCs w:val="28"/>
          <w:lang w:eastAsia="ru-RU"/>
        </w:rPr>
        <w:t>содержания</w:t>
      </w:r>
      <w:r w:rsidRPr="008F7257">
        <w:rPr>
          <w:rFonts w:ascii="Times New Roman" w:eastAsia="Times New Roman" w:hAnsi="Times New Roman"/>
          <w:sz w:val="28"/>
          <w:szCs w:val="28"/>
          <w:lang w:eastAsia="ru-RU"/>
        </w:rPr>
        <w:t>:</w:t>
      </w:r>
    </w:p>
    <w:p w14:paraId="2F36CDAB" w14:textId="77777777" w:rsidR="00C36DD9" w:rsidRPr="008D3283" w:rsidRDefault="00C36DD9" w:rsidP="00A30432">
      <w:pPr>
        <w:spacing w:after="0" w:line="240" w:lineRule="auto"/>
        <w:ind w:firstLine="709"/>
        <w:jc w:val="both"/>
        <w:textAlignment w:val="baseline"/>
        <w:rPr>
          <w:rFonts w:ascii="Times New Roman" w:eastAsia="Times New Roman" w:hAnsi="Times New Roman"/>
          <w:sz w:val="16"/>
          <w:szCs w:val="16"/>
          <w:lang w:eastAsia="ru-RU"/>
        </w:rPr>
      </w:pPr>
    </w:p>
    <w:tbl>
      <w:tblPr>
        <w:tblStyle w:val="ae"/>
        <w:tblW w:w="0" w:type="auto"/>
        <w:tblLook w:val="04A0" w:firstRow="1" w:lastRow="0" w:firstColumn="1" w:lastColumn="0" w:noHBand="0" w:noVBand="1"/>
      </w:tblPr>
      <w:tblGrid>
        <w:gridCol w:w="996"/>
        <w:gridCol w:w="3696"/>
        <w:gridCol w:w="1516"/>
        <w:gridCol w:w="3136"/>
      </w:tblGrid>
      <w:tr w:rsidR="00A30432" w:rsidRPr="008F7257" w14:paraId="7AF44168" w14:textId="77777777" w:rsidTr="00F228F2">
        <w:tc>
          <w:tcPr>
            <w:tcW w:w="988" w:type="dxa"/>
          </w:tcPr>
          <w:p w14:paraId="64BDB0B1"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«15.3.5.</w:t>
            </w:r>
          </w:p>
        </w:tc>
        <w:tc>
          <w:tcPr>
            <w:tcW w:w="3825" w:type="dxa"/>
          </w:tcPr>
          <w:p w14:paraId="5C305DDA"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Предоставление по запросу вверителя внепланового отчета Доверительного управляющего</w:t>
            </w:r>
          </w:p>
        </w:tc>
        <w:tc>
          <w:tcPr>
            <w:tcW w:w="1561" w:type="dxa"/>
          </w:tcPr>
          <w:p w14:paraId="468D4F15"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50,00 бел. руб. (с НДС)</w:t>
            </w:r>
          </w:p>
        </w:tc>
        <w:tc>
          <w:tcPr>
            <w:tcW w:w="3253" w:type="dxa"/>
          </w:tcPr>
          <w:p w14:paraId="361FBF22"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r w:rsidR="00A30432" w:rsidRPr="008F7257" w14:paraId="55907079" w14:textId="77777777" w:rsidTr="00F228F2">
        <w:tc>
          <w:tcPr>
            <w:tcW w:w="988" w:type="dxa"/>
          </w:tcPr>
          <w:p w14:paraId="077E2C9E"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15.3.6.</w:t>
            </w:r>
          </w:p>
        </w:tc>
        <w:tc>
          <w:tcPr>
            <w:tcW w:w="3825" w:type="dxa"/>
          </w:tcPr>
          <w:p w14:paraId="0E826A5D"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Предоставление по запросу вверителя справки / письма об активах вверителя</w:t>
            </w:r>
          </w:p>
        </w:tc>
        <w:tc>
          <w:tcPr>
            <w:tcW w:w="1561" w:type="dxa"/>
          </w:tcPr>
          <w:p w14:paraId="3C3737C5"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50,00 бел. руб. (с НДС)</w:t>
            </w:r>
          </w:p>
        </w:tc>
        <w:tc>
          <w:tcPr>
            <w:tcW w:w="3253" w:type="dxa"/>
          </w:tcPr>
          <w:p w14:paraId="2D634D12"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r w:rsidR="00A30432" w:rsidRPr="008F7257" w14:paraId="1798A0C8" w14:textId="77777777" w:rsidTr="00F228F2">
        <w:tc>
          <w:tcPr>
            <w:tcW w:w="988" w:type="dxa"/>
          </w:tcPr>
          <w:p w14:paraId="2137AFFF"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15.3.7</w:t>
            </w:r>
          </w:p>
        </w:tc>
        <w:tc>
          <w:tcPr>
            <w:tcW w:w="3825" w:type="dxa"/>
          </w:tcPr>
          <w:p w14:paraId="70677B89"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Участие доверительного управляющего в корпоративном событии с ценными бумагами по инициативе вверителя</w:t>
            </w:r>
          </w:p>
        </w:tc>
        <w:tc>
          <w:tcPr>
            <w:tcW w:w="1561" w:type="dxa"/>
          </w:tcPr>
          <w:p w14:paraId="4CFB35EC"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100,00 бел. руб. (с НДС)</w:t>
            </w:r>
          </w:p>
        </w:tc>
        <w:tc>
          <w:tcPr>
            <w:tcW w:w="3253" w:type="dxa"/>
          </w:tcPr>
          <w:p w14:paraId="5C508203" w14:textId="77777777" w:rsidR="00A30432" w:rsidRPr="00C36DD9" w:rsidRDefault="00A30432" w:rsidP="00C36DD9">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Не позднее последнего рабочего дня месяца, следующего за отчетным кварталом»;</w:t>
            </w:r>
          </w:p>
        </w:tc>
      </w:tr>
    </w:tbl>
    <w:p w14:paraId="555CDD84" w14:textId="77777777" w:rsidR="00A30432" w:rsidRPr="00C36DD9" w:rsidRDefault="00A30432" w:rsidP="00A30432">
      <w:pPr>
        <w:spacing w:after="0" w:line="240" w:lineRule="auto"/>
        <w:ind w:firstLine="709"/>
        <w:jc w:val="both"/>
        <w:textAlignment w:val="baseline"/>
        <w:rPr>
          <w:rFonts w:ascii="Times New Roman" w:eastAsia="Times New Roman" w:hAnsi="Times New Roman"/>
          <w:sz w:val="16"/>
          <w:szCs w:val="16"/>
          <w:lang w:eastAsia="ru-RU"/>
        </w:rPr>
      </w:pPr>
    </w:p>
    <w:p w14:paraId="66AAE805" w14:textId="75B3FB80" w:rsidR="00A30432" w:rsidRPr="008D3283" w:rsidRDefault="00A30432" w:rsidP="00A30432">
      <w:pPr>
        <w:spacing w:after="0" w:line="240" w:lineRule="auto"/>
        <w:ind w:firstLine="709"/>
        <w:jc w:val="both"/>
        <w:textAlignment w:val="baseline"/>
        <w:rPr>
          <w:rFonts w:ascii="Times New Roman" w:eastAsia="Times New Roman" w:hAnsi="Times New Roman"/>
          <w:sz w:val="28"/>
          <w:szCs w:val="28"/>
          <w:lang w:eastAsia="ru-RU"/>
        </w:rPr>
      </w:pPr>
      <w:r w:rsidRPr="008F7257">
        <w:rPr>
          <w:rFonts w:ascii="Times New Roman" w:eastAsia="Times New Roman" w:hAnsi="Times New Roman"/>
          <w:sz w:val="28"/>
          <w:szCs w:val="28"/>
          <w:lang w:eastAsia="ru-RU"/>
        </w:rPr>
        <w:t xml:space="preserve">дополнить позицию «Примечания к подразделу 15.3» пунктом 3 </w:t>
      </w:r>
      <w:r w:rsidR="0019113F">
        <w:rPr>
          <w:rFonts w:ascii="Times New Roman" w:eastAsia="Times New Roman" w:hAnsi="Times New Roman"/>
          <w:sz w:val="28"/>
          <w:szCs w:val="28"/>
          <w:lang w:eastAsia="ru-RU"/>
        </w:rPr>
        <w:t>следующего содержания</w:t>
      </w:r>
      <w:r w:rsidRPr="008F7257">
        <w:rPr>
          <w:rFonts w:ascii="Times New Roman" w:eastAsia="Times New Roman" w:hAnsi="Times New Roman"/>
          <w:sz w:val="28"/>
          <w:szCs w:val="28"/>
          <w:lang w:eastAsia="ru-RU"/>
        </w:rPr>
        <w:t>:</w:t>
      </w:r>
    </w:p>
    <w:p w14:paraId="1922DC37" w14:textId="77777777" w:rsidR="00C36DD9" w:rsidRPr="008D3283" w:rsidRDefault="00C36DD9" w:rsidP="00A30432">
      <w:pPr>
        <w:spacing w:after="0" w:line="240" w:lineRule="auto"/>
        <w:ind w:firstLine="709"/>
        <w:jc w:val="both"/>
        <w:textAlignment w:val="baseline"/>
        <w:rPr>
          <w:rFonts w:ascii="Times New Roman" w:eastAsia="Times New Roman" w:hAnsi="Times New Roman"/>
          <w:sz w:val="16"/>
          <w:szCs w:val="16"/>
          <w:lang w:eastAsia="ru-RU"/>
        </w:rPr>
      </w:pPr>
    </w:p>
    <w:tbl>
      <w:tblPr>
        <w:tblStyle w:val="ae"/>
        <w:tblW w:w="0" w:type="auto"/>
        <w:tblLook w:val="04A0" w:firstRow="1" w:lastRow="0" w:firstColumn="1" w:lastColumn="0" w:noHBand="0" w:noVBand="1"/>
      </w:tblPr>
      <w:tblGrid>
        <w:gridCol w:w="696"/>
        <w:gridCol w:w="8648"/>
      </w:tblGrid>
      <w:tr w:rsidR="00A30432" w:rsidRPr="008F7257" w14:paraId="6C621FFA" w14:textId="77777777" w:rsidTr="00C36DD9">
        <w:trPr>
          <w:trHeight w:val="3523"/>
        </w:trPr>
        <w:tc>
          <w:tcPr>
            <w:tcW w:w="704" w:type="dxa"/>
          </w:tcPr>
          <w:p w14:paraId="4593E434"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lastRenderedPageBreak/>
              <w:t>«3.</w:t>
            </w:r>
          </w:p>
        </w:tc>
        <w:tc>
          <w:tcPr>
            <w:tcW w:w="8923" w:type="dxa"/>
          </w:tcPr>
          <w:p w14:paraId="55A6774E" w14:textId="4C8DE989"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Плата по п.</w:t>
            </w:r>
            <w:r w:rsidR="008D3283">
              <w:rPr>
                <w:rFonts w:ascii="Times New Roman" w:hAnsi="Times New Roman"/>
                <w:sz w:val="24"/>
                <w:szCs w:val="24"/>
                <w:lang w:eastAsia="ru-RU"/>
              </w:rPr>
              <w:t> </w:t>
            </w:r>
            <w:r w:rsidRPr="00C36DD9">
              <w:rPr>
                <w:rFonts w:ascii="Times New Roman" w:hAnsi="Times New Roman"/>
                <w:sz w:val="24"/>
                <w:szCs w:val="24"/>
                <w:lang w:eastAsia="ru-RU"/>
              </w:rPr>
              <w:t>15.3.3 взимается за исполнение (частичное исполнение) сделки с ценными бумагами и иными финансовыми инструментами по инициативе вверителя:</w:t>
            </w:r>
          </w:p>
          <w:p w14:paraId="6E3BD20F"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в рамках одного распоряжения;</w:t>
            </w:r>
          </w:p>
          <w:p w14:paraId="07F68AC7"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по одному ISIN ценной бумаги или коду иного финансового инструмента;</w:t>
            </w:r>
          </w:p>
          <w:p w14:paraId="1836BB8D"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за каждый торговый день, в котором исполняется (частично исполняется) сделка;</w:t>
            </w:r>
          </w:p>
          <w:p w14:paraId="06C5E01A" w14:textId="77777777"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по одному виду сделки (покупка / продажа / иная).</w:t>
            </w:r>
          </w:p>
          <w:p w14:paraId="7032EAAF" w14:textId="202456FA" w:rsidR="00A30432" w:rsidRPr="00C36DD9" w:rsidRDefault="00A30432" w:rsidP="00F228F2">
            <w:pPr>
              <w:spacing w:line="240" w:lineRule="auto"/>
              <w:jc w:val="both"/>
              <w:textAlignment w:val="baseline"/>
              <w:rPr>
                <w:rFonts w:ascii="Times New Roman" w:hAnsi="Times New Roman"/>
                <w:sz w:val="24"/>
                <w:szCs w:val="24"/>
                <w:lang w:eastAsia="ru-RU"/>
              </w:rPr>
            </w:pPr>
            <w:r w:rsidRPr="00C36DD9">
              <w:rPr>
                <w:rFonts w:ascii="Times New Roman" w:hAnsi="Times New Roman"/>
                <w:sz w:val="24"/>
                <w:szCs w:val="24"/>
                <w:lang w:eastAsia="ru-RU"/>
              </w:rPr>
              <w:t>В случае если поданная ОАО «Белагропромбанк» заявка на совершение сделки на организованном рынке в рамках одного распоряжения вверителя была удовлетворена несколькими участниками рынка, то в целях расчета платы по п.</w:t>
            </w:r>
            <w:r w:rsidR="008D3283">
              <w:rPr>
                <w:rFonts w:ascii="Times New Roman" w:hAnsi="Times New Roman"/>
                <w:sz w:val="24"/>
                <w:szCs w:val="24"/>
                <w:lang w:eastAsia="ru-RU"/>
              </w:rPr>
              <w:t> </w:t>
            </w:r>
            <w:r w:rsidRPr="00C36DD9">
              <w:rPr>
                <w:rFonts w:ascii="Times New Roman" w:hAnsi="Times New Roman"/>
                <w:sz w:val="24"/>
                <w:szCs w:val="24"/>
                <w:lang w:eastAsia="ru-RU"/>
              </w:rPr>
              <w:t>15.3.3 заключенные сделки рассматриваются как единая сделка, а суммы таких сделок объединяются в единое значение.».</w:t>
            </w:r>
          </w:p>
        </w:tc>
      </w:tr>
    </w:tbl>
    <w:p w14:paraId="0B71A2F3" w14:textId="77777777" w:rsidR="00A30432" w:rsidRPr="008F7257" w:rsidRDefault="00A30432" w:rsidP="00A30432">
      <w:pPr>
        <w:tabs>
          <w:tab w:val="left" w:pos="709"/>
          <w:tab w:val="left" w:pos="6804"/>
        </w:tabs>
        <w:spacing w:after="0" w:line="240" w:lineRule="auto"/>
        <w:rPr>
          <w:rFonts w:ascii="Times New Roman" w:eastAsia="Times New Roman" w:hAnsi="Times New Roman"/>
          <w:sz w:val="28"/>
          <w:szCs w:val="28"/>
        </w:rPr>
      </w:pPr>
    </w:p>
    <w:p w14:paraId="31BB8250" w14:textId="5FBA8299" w:rsidR="00A30432" w:rsidRPr="005C5F9A" w:rsidRDefault="00A30432" w:rsidP="00BA1B3A">
      <w:pPr>
        <w:tabs>
          <w:tab w:val="left" w:pos="709"/>
          <w:tab w:val="left" w:pos="6804"/>
        </w:tabs>
        <w:spacing w:after="0" w:line="240" w:lineRule="auto"/>
        <w:rPr>
          <w:rFonts w:ascii="Times New Roman" w:eastAsia="Times New Roman" w:hAnsi="Times New Roman" w:cs="Times New Roman"/>
          <w:sz w:val="28"/>
          <w:szCs w:val="28"/>
          <w:lang w:eastAsia="ru-RU"/>
        </w:rPr>
      </w:pPr>
      <w:r w:rsidRPr="008F7257">
        <w:rPr>
          <w:rFonts w:ascii="Times New Roman" w:eastAsia="Times New Roman" w:hAnsi="Times New Roman"/>
          <w:sz w:val="28"/>
          <w:szCs w:val="28"/>
        </w:rPr>
        <w:t>Финансовый департамент</w:t>
      </w:r>
    </w:p>
    <w:sectPr w:rsidR="00A30432" w:rsidRPr="005C5F9A" w:rsidSect="00C36DD9">
      <w:headerReference w:type="even" r:id="rId8"/>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E4335" w14:textId="77777777" w:rsidR="002D3572" w:rsidRDefault="002D3572" w:rsidP="00774FB0">
      <w:pPr>
        <w:spacing w:after="0" w:line="240" w:lineRule="auto"/>
      </w:pPr>
      <w:r>
        <w:separator/>
      </w:r>
    </w:p>
  </w:endnote>
  <w:endnote w:type="continuationSeparator" w:id="0">
    <w:p w14:paraId="2E01292E" w14:textId="77777777" w:rsidR="002D3572" w:rsidRDefault="002D3572"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11B02" w14:textId="77777777" w:rsidR="002D3572" w:rsidRDefault="002D3572" w:rsidP="00774FB0">
      <w:pPr>
        <w:spacing w:after="0" w:line="240" w:lineRule="auto"/>
      </w:pPr>
      <w:r>
        <w:separator/>
      </w:r>
    </w:p>
  </w:footnote>
  <w:footnote w:type="continuationSeparator" w:id="0">
    <w:p w14:paraId="0634D3C3" w14:textId="77777777" w:rsidR="002D3572" w:rsidRDefault="002D3572"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A52A" w14:textId="77777777" w:rsidR="00F5677B" w:rsidRDefault="00F5677B">
    <w:pPr>
      <w:pStyle w:val="a8"/>
    </w:pPr>
  </w:p>
  <w:p w14:paraId="5C1F0674" w14:textId="77777777" w:rsidR="00A84132" w:rsidRDefault="00A841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BAA84" w14:textId="34146D86" w:rsidR="002E69DF" w:rsidRPr="00A22214" w:rsidRDefault="002E69DF" w:rsidP="002E69DF">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F36D77">
      <w:rPr>
        <w:rFonts w:ascii="Times New Roman" w:eastAsia="Times New Roman" w:hAnsi="Times New Roman"/>
        <w:noProof/>
        <w:sz w:val="24"/>
        <w:szCs w:val="24"/>
        <w:lang w:eastAsia="ru-RU"/>
      </w:rPr>
      <w:t>3</w:t>
    </w:r>
    <w:r w:rsidRPr="00A22214">
      <w:rPr>
        <w:rFonts w:ascii="Times New Roman" w:eastAsia="Times New Roman" w:hAnsi="Times New Roman"/>
        <w:sz w:val="24"/>
        <w:szCs w:val="24"/>
        <w:lang w:eastAsia="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63511"/>
    <w:multiLevelType w:val="hybridMultilevel"/>
    <w:tmpl w:val="88D83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2A6A"/>
    <w:rsid w:val="00002A82"/>
    <w:rsid w:val="00003B40"/>
    <w:rsid w:val="00005454"/>
    <w:rsid w:val="00005FEE"/>
    <w:rsid w:val="0001024E"/>
    <w:rsid w:val="000118DC"/>
    <w:rsid w:val="00014213"/>
    <w:rsid w:val="00015666"/>
    <w:rsid w:val="00020639"/>
    <w:rsid w:val="00020D5C"/>
    <w:rsid w:val="00021B8C"/>
    <w:rsid w:val="00021F78"/>
    <w:rsid w:val="00022F1D"/>
    <w:rsid w:val="00027849"/>
    <w:rsid w:val="00027B15"/>
    <w:rsid w:val="00031C6D"/>
    <w:rsid w:val="00032023"/>
    <w:rsid w:val="00040B3B"/>
    <w:rsid w:val="0004184F"/>
    <w:rsid w:val="00042D21"/>
    <w:rsid w:val="00043204"/>
    <w:rsid w:val="00043B74"/>
    <w:rsid w:val="00043DD7"/>
    <w:rsid w:val="00044FCC"/>
    <w:rsid w:val="0005249A"/>
    <w:rsid w:val="00052F54"/>
    <w:rsid w:val="000539C4"/>
    <w:rsid w:val="000540D6"/>
    <w:rsid w:val="00055D8F"/>
    <w:rsid w:val="00055D9D"/>
    <w:rsid w:val="00055FAF"/>
    <w:rsid w:val="000574E8"/>
    <w:rsid w:val="00057D24"/>
    <w:rsid w:val="00062525"/>
    <w:rsid w:val="00062639"/>
    <w:rsid w:val="00065238"/>
    <w:rsid w:val="00065A8B"/>
    <w:rsid w:val="00065CEB"/>
    <w:rsid w:val="0006708B"/>
    <w:rsid w:val="000704E3"/>
    <w:rsid w:val="00070974"/>
    <w:rsid w:val="00071BBE"/>
    <w:rsid w:val="0007550B"/>
    <w:rsid w:val="00076E7B"/>
    <w:rsid w:val="00076FFD"/>
    <w:rsid w:val="0007723C"/>
    <w:rsid w:val="00080233"/>
    <w:rsid w:val="00081666"/>
    <w:rsid w:val="00081949"/>
    <w:rsid w:val="000845A1"/>
    <w:rsid w:val="00084726"/>
    <w:rsid w:val="00084758"/>
    <w:rsid w:val="000851F2"/>
    <w:rsid w:val="000858F0"/>
    <w:rsid w:val="00085AA5"/>
    <w:rsid w:val="000860E4"/>
    <w:rsid w:val="00086368"/>
    <w:rsid w:val="000867A8"/>
    <w:rsid w:val="000902DE"/>
    <w:rsid w:val="000932D3"/>
    <w:rsid w:val="00093750"/>
    <w:rsid w:val="00096450"/>
    <w:rsid w:val="00096622"/>
    <w:rsid w:val="0009699E"/>
    <w:rsid w:val="00096C37"/>
    <w:rsid w:val="00097EBA"/>
    <w:rsid w:val="000A0B2D"/>
    <w:rsid w:val="000A1015"/>
    <w:rsid w:val="000A2D89"/>
    <w:rsid w:val="000A3E88"/>
    <w:rsid w:val="000A3F9A"/>
    <w:rsid w:val="000A5415"/>
    <w:rsid w:val="000A54D8"/>
    <w:rsid w:val="000A6C25"/>
    <w:rsid w:val="000B07A7"/>
    <w:rsid w:val="000B3692"/>
    <w:rsid w:val="000B3DF9"/>
    <w:rsid w:val="000B43E2"/>
    <w:rsid w:val="000B4629"/>
    <w:rsid w:val="000B5197"/>
    <w:rsid w:val="000C04BE"/>
    <w:rsid w:val="000C09A1"/>
    <w:rsid w:val="000C1F10"/>
    <w:rsid w:val="000C5559"/>
    <w:rsid w:val="000C56B6"/>
    <w:rsid w:val="000C579A"/>
    <w:rsid w:val="000C5E9D"/>
    <w:rsid w:val="000D0786"/>
    <w:rsid w:val="000D0F09"/>
    <w:rsid w:val="000D246B"/>
    <w:rsid w:val="000D3573"/>
    <w:rsid w:val="000D3E8F"/>
    <w:rsid w:val="000D5B44"/>
    <w:rsid w:val="000D5F62"/>
    <w:rsid w:val="000D63D3"/>
    <w:rsid w:val="000E131B"/>
    <w:rsid w:val="000E3DC2"/>
    <w:rsid w:val="000E4873"/>
    <w:rsid w:val="000E4E66"/>
    <w:rsid w:val="000F01A4"/>
    <w:rsid w:val="000F18B9"/>
    <w:rsid w:val="000F2244"/>
    <w:rsid w:val="000F3FEE"/>
    <w:rsid w:val="0010030C"/>
    <w:rsid w:val="00101A13"/>
    <w:rsid w:val="00102F38"/>
    <w:rsid w:val="00105758"/>
    <w:rsid w:val="00106545"/>
    <w:rsid w:val="0011155A"/>
    <w:rsid w:val="001118DB"/>
    <w:rsid w:val="00113084"/>
    <w:rsid w:val="00113399"/>
    <w:rsid w:val="00113E17"/>
    <w:rsid w:val="00114281"/>
    <w:rsid w:val="001164F1"/>
    <w:rsid w:val="00117183"/>
    <w:rsid w:val="001210D0"/>
    <w:rsid w:val="00121EFE"/>
    <w:rsid w:val="00122476"/>
    <w:rsid w:val="0012249F"/>
    <w:rsid w:val="00122684"/>
    <w:rsid w:val="00123916"/>
    <w:rsid w:val="00124952"/>
    <w:rsid w:val="00124D09"/>
    <w:rsid w:val="001251AA"/>
    <w:rsid w:val="0012658C"/>
    <w:rsid w:val="00126876"/>
    <w:rsid w:val="00126D7A"/>
    <w:rsid w:val="00126DDE"/>
    <w:rsid w:val="00127087"/>
    <w:rsid w:val="001271BC"/>
    <w:rsid w:val="00130D3E"/>
    <w:rsid w:val="00132848"/>
    <w:rsid w:val="001329FF"/>
    <w:rsid w:val="0013368C"/>
    <w:rsid w:val="00133F28"/>
    <w:rsid w:val="0013621D"/>
    <w:rsid w:val="00136C1C"/>
    <w:rsid w:val="00137370"/>
    <w:rsid w:val="001379E5"/>
    <w:rsid w:val="001379ED"/>
    <w:rsid w:val="00140049"/>
    <w:rsid w:val="0014233A"/>
    <w:rsid w:val="001425C2"/>
    <w:rsid w:val="00143FBD"/>
    <w:rsid w:val="001446EC"/>
    <w:rsid w:val="00147CA7"/>
    <w:rsid w:val="00147D79"/>
    <w:rsid w:val="001502EB"/>
    <w:rsid w:val="00150B1E"/>
    <w:rsid w:val="00153982"/>
    <w:rsid w:val="00153BAC"/>
    <w:rsid w:val="0015409B"/>
    <w:rsid w:val="001540D6"/>
    <w:rsid w:val="001551B4"/>
    <w:rsid w:val="001562D8"/>
    <w:rsid w:val="0015684A"/>
    <w:rsid w:val="00160067"/>
    <w:rsid w:val="00160F11"/>
    <w:rsid w:val="00161420"/>
    <w:rsid w:val="00161650"/>
    <w:rsid w:val="00161FB4"/>
    <w:rsid w:val="0016201B"/>
    <w:rsid w:val="00162EA1"/>
    <w:rsid w:val="0016374F"/>
    <w:rsid w:val="0016392E"/>
    <w:rsid w:val="00163E8A"/>
    <w:rsid w:val="001642F2"/>
    <w:rsid w:val="0016487D"/>
    <w:rsid w:val="00171BC9"/>
    <w:rsid w:val="0017228B"/>
    <w:rsid w:val="00172373"/>
    <w:rsid w:val="001735F6"/>
    <w:rsid w:val="00174D22"/>
    <w:rsid w:val="0017605C"/>
    <w:rsid w:val="001774DB"/>
    <w:rsid w:val="00177E66"/>
    <w:rsid w:val="001808A0"/>
    <w:rsid w:val="0018109D"/>
    <w:rsid w:val="00186011"/>
    <w:rsid w:val="0018665B"/>
    <w:rsid w:val="00187A55"/>
    <w:rsid w:val="0019113F"/>
    <w:rsid w:val="00191EEA"/>
    <w:rsid w:val="00193FF4"/>
    <w:rsid w:val="001940BE"/>
    <w:rsid w:val="00197AB5"/>
    <w:rsid w:val="00197C79"/>
    <w:rsid w:val="001A0681"/>
    <w:rsid w:val="001A0BBC"/>
    <w:rsid w:val="001A1B68"/>
    <w:rsid w:val="001A1F4A"/>
    <w:rsid w:val="001A2D53"/>
    <w:rsid w:val="001A3069"/>
    <w:rsid w:val="001A5DDB"/>
    <w:rsid w:val="001A6BC0"/>
    <w:rsid w:val="001B0A6E"/>
    <w:rsid w:val="001B0EB9"/>
    <w:rsid w:val="001B1F6E"/>
    <w:rsid w:val="001B283A"/>
    <w:rsid w:val="001B2AEC"/>
    <w:rsid w:val="001B37F5"/>
    <w:rsid w:val="001B5045"/>
    <w:rsid w:val="001B5BD0"/>
    <w:rsid w:val="001B68CA"/>
    <w:rsid w:val="001B6C23"/>
    <w:rsid w:val="001C0EDE"/>
    <w:rsid w:val="001C70BC"/>
    <w:rsid w:val="001C7F52"/>
    <w:rsid w:val="001D0C98"/>
    <w:rsid w:val="001D0D27"/>
    <w:rsid w:val="001D1031"/>
    <w:rsid w:val="001D2814"/>
    <w:rsid w:val="001D3CAA"/>
    <w:rsid w:val="001D45D1"/>
    <w:rsid w:val="001D4A13"/>
    <w:rsid w:val="001D4BF7"/>
    <w:rsid w:val="001D6FB0"/>
    <w:rsid w:val="001D73BD"/>
    <w:rsid w:val="001D743C"/>
    <w:rsid w:val="001E1AA0"/>
    <w:rsid w:val="001E1F41"/>
    <w:rsid w:val="001E2C1E"/>
    <w:rsid w:val="001E41D1"/>
    <w:rsid w:val="001E4FEF"/>
    <w:rsid w:val="001E716E"/>
    <w:rsid w:val="001F0D18"/>
    <w:rsid w:val="001F2705"/>
    <w:rsid w:val="001F38BF"/>
    <w:rsid w:val="001F3FBB"/>
    <w:rsid w:val="001F5921"/>
    <w:rsid w:val="001F5FF6"/>
    <w:rsid w:val="001F6D8A"/>
    <w:rsid w:val="001F76FC"/>
    <w:rsid w:val="00201395"/>
    <w:rsid w:val="002034A5"/>
    <w:rsid w:val="002067AC"/>
    <w:rsid w:val="00211588"/>
    <w:rsid w:val="002121D5"/>
    <w:rsid w:val="0021319C"/>
    <w:rsid w:val="002143B0"/>
    <w:rsid w:val="00215A36"/>
    <w:rsid w:val="00215C2A"/>
    <w:rsid w:val="002176B6"/>
    <w:rsid w:val="00221BE2"/>
    <w:rsid w:val="00223C78"/>
    <w:rsid w:val="002249D6"/>
    <w:rsid w:val="00224BBF"/>
    <w:rsid w:val="00224FA0"/>
    <w:rsid w:val="00224FF4"/>
    <w:rsid w:val="00227179"/>
    <w:rsid w:val="0023122B"/>
    <w:rsid w:val="00231AF5"/>
    <w:rsid w:val="002355F8"/>
    <w:rsid w:val="00237E92"/>
    <w:rsid w:val="00242251"/>
    <w:rsid w:val="002423C8"/>
    <w:rsid w:val="00243198"/>
    <w:rsid w:val="002442F0"/>
    <w:rsid w:val="00245079"/>
    <w:rsid w:val="00246241"/>
    <w:rsid w:val="002463D0"/>
    <w:rsid w:val="002537D2"/>
    <w:rsid w:val="002562F5"/>
    <w:rsid w:val="002573A6"/>
    <w:rsid w:val="00257432"/>
    <w:rsid w:val="002577D8"/>
    <w:rsid w:val="00257E7F"/>
    <w:rsid w:val="00262192"/>
    <w:rsid w:val="0026473C"/>
    <w:rsid w:val="00265B7F"/>
    <w:rsid w:val="00265E19"/>
    <w:rsid w:val="00271148"/>
    <w:rsid w:val="002711A5"/>
    <w:rsid w:val="00271F45"/>
    <w:rsid w:val="00273306"/>
    <w:rsid w:val="002736C2"/>
    <w:rsid w:val="00275455"/>
    <w:rsid w:val="002772EC"/>
    <w:rsid w:val="00280CE3"/>
    <w:rsid w:val="00280DAE"/>
    <w:rsid w:val="002841C2"/>
    <w:rsid w:val="002846FC"/>
    <w:rsid w:val="00285299"/>
    <w:rsid w:val="0028668F"/>
    <w:rsid w:val="0028722F"/>
    <w:rsid w:val="0028732C"/>
    <w:rsid w:val="00287F55"/>
    <w:rsid w:val="00287FBD"/>
    <w:rsid w:val="00292FF0"/>
    <w:rsid w:val="00294A5C"/>
    <w:rsid w:val="00294CAA"/>
    <w:rsid w:val="00297013"/>
    <w:rsid w:val="00297C56"/>
    <w:rsid w:val="002A0782"/>
    <w:rsid w:val="002A0C3C"/>
    <w:rsid w:val="002A3885"/>
    <w:rsid w:val="002A3F92"/>
    <w:rsid w:val="002A552E"/>
    <w:rsid w:val="002A6A90"/>
    <w:rsid w:val="002B126F"/>
    <w:rsid w:val="002B51BC"/>
    <w:rsid w:val="002B52C8"/>
    <w:rsid w:val="002B54CB"/>
    <w:rsid w:val="002C12B5"/>
    <w:rsid w:val="002C199C"/>
    <w:rsid w:val="002C5DB6"/>
    <w:rsid w:val="002C663F"/>
    <w:rsid w:val="002D21AA"/>
    <w:rsid w:val="002D3572"/>
    <w:rsid w:val="002D4D35"/>
    <w:rsid w:val="002D5E4B"/>
    <w:rsid w:val="002E37B8"/>
    <w:rsid w:val="002E3D3B"/>
    <w:rsid w:val="002E4EA1"/>
    <w:rsid w:val="002E5AC2"/>
    <w:rsid w:val="002E5CCC"/>
    <w:rsid w:val="002E6381"/>
    <w:rsid w:val="002E69DF"/>
    <w:rsid w:val="002E6F07"/>
    <w:rsid w:val="002E712C"/>
    <w:rsid w:val="002E77CE"/>
    <w:rsid w:val="002F110A"/>
    <w:rsid w:val="002F13B0"/>
    <w:rsid w:val="002F4523"/>
    <w:rsid w:val="002F4641"/>
    <w:rsid w:val="002F496E"/>
    <w:rsid w:val="002F5629"/>
    <w:rsid w:val="002F7D4E"/>
    <w:rsid w:val="002F7DB6"/>
    <w:rsid w:val="002F7FDB"/>
    <w:rsid w:val="0030180A"/>
    <w:rsid w:val="00301859"/>
    <w:rsid w:val="00302099"/>
    <w:rsid w:val="00303D79"/>
    <w:rsid w:val="00304743"/>
    <w:rsid w:val="0030593C"/>
    <w:rsid w:val="003062E2"/>
    <w:rsid w:val="003070EE"/>
    <w:rsid w:val="00307331"/>
    <w:rsid w:val="003150C6"/>
    <w:rsid w:val="00315815"/>
    <w:rsid w:val="00317280"/>
    <w:rsid w:val="00317979"/>
    <w:rsid w:val="00320001"/>
    <w:rsid w:val="0032018A"/>
    <w:rsid w:val="0032617F"/>
    <w:rsid w:val="003277B7"/>
    <w:rsid w:val="003303ED"/>
    <w:rsid w:val="00331FAB"/>
    <w:rsid w:val="00333C42"/>
    <w:rsid w:val="0033401F"/>
    <w:rsid w:val="0033456E"/>
    <w:rsid w:val="0033631D"/>
    <w:rsid w:val="003372FE"/>
    <w:rsid w:val="00340246"/>
    <w:rsid w:val="00342DFE"/>
    <w:rsid w:val="003443F3"/>
    <w:rsid w:val="003461EB"/>
    <w:rsid w:val="003465E3"/>
    <w:rsid w:val="003500A9"/>
    <w:rsid w:val="003500EF"/>
    <w:rsid w:val="0035082C"/>
    <w:rsid w:val="003509E9"/>
    <w:rsid w:val="00353260"/>
    <w:rsid w:val="00353727"/>
    <w:rsid w:val="00353F0A"/>
    <w:rsid w:val="0035427E"/>
    <w:rsid w:val="00356260"/>
    <w:rsid w:val="00356389"/>
    <w:rsid w:val="0035755C"/>
    <w:rsid w:val="00357DAD"/>
    <w:rsid w:val="0036062D"/>
    <w:rsid w:val="00361E96"/>
    <w:rsid w:val="003627E6"/>
    <w:rsid w:val="00362FD1"/>
    <w:rsid w:val="0036314A"/>
    <w:rsid w:val="00363FF5"/>
    <w:rsid w:val="003658B6"/>
    <w:rsid w:val="00365B15"/>
    <w:rsid w:val="00366570"/>
    <w:rsid w:val="003666C2"/>
    <w:rsid w:val="00366C06"/>
    <w:rsid w:val="00366CDF"/>
    <w:rsid w:val="00367F23"/>
    <w:rsid w:val="00371267"/>
    <w:rsid w:val="00371DA1"/>
    <w:rsid w:val="00372D6B"/>
    <w:rsid w:val="003764EE"/>
    <w:rsid w:val="00376A4C"/>
    <w:rsid w:val="003779F0"/>
    <w:rsid w:val="00380167"/>
    <w:rsid w:val="00383D82"/>
    <w:rsid w:val="00386420"/>
    <w:rsid w:val="003873FF"/>
    <w:rsid w:val="003879F1"/>
    <w:rsid w:val="00387D68"/>
    <w:rsid w:val="0039068B"/>
    <w:rsid w:val="00391294"/>
    <w:rsid w:val="00391DDA"/>
    <w:rsid w:val="00394D91"/>
    <w:rsid w:val="0039664B"/>
    <w:rsid w:val="00397BDC"/>
    <w:rsid w:val="003A12C3"/>
    <w:rsid w:val="003A2748"/>
    <w:rsid w:val="003A4279"/>
    <w:rsid w:val="003A4941"/>
    <w:rsid w:val="003A5692"/>
    <w:rsid w:val="003B0AEF"/>
    <w:rsid w:val="003B175E"/>
    <w:rsid w:val="003B1BCA"/>
    <w:rsid w:val="003B38CD"/>
    <w:rsid w:val="003B396F"/>
    <w:rsid w:val="003B4F09"/>
    <w:rsid w:val="003C178A"/>
    <w:rsid w:val="003C2DFE"/>
    <w:rsid w:val="003C2E19"/>
    <w:rsid w:val="003C50F0"/>
    <w:rsid w:val="003C6C94"/>
    <w:rsid w:val="003C7C01"/>
    <w:rsid w:val="003D0240"/>
    <w:rsid w:val="003D1CF5"/>
    <w:rsid w:val="003D3C13"/>
    <w:rsid w:val="003D445B"/>
    <w:rsid w:val="003D476C"/>
    <w:rsid w:val="003D5954"/>
    <w:rsid w:val="003D6218"/>
    <w:rsid w:val="003D79B2"/>
    <w:rsid w:val="003E0670"/>
    <w:rsid w:val="003E6FB5"/>
    <w:rsid w:val="003F28FB"/>
    <w:rsid w:val="003F476E"/>
    <w:rsid w:val="003F4FA6"/>
    <w:rsid w:val="003F5FF2"/>
    <w:rsid w:val="0040012F"/>
    <w:rsid w:val="004003D6"/>
    <w:rsid w:val="00401476"/>
    <w:rsid w:val="00401B31"/>
    <w:rsid w:val="004023E9"/>
    <w:rsid w:val="0040241E"/>
    <w:rsid w:val="00402B03"/>
    <w:rsid w:val="004038DB"/>
    <w:rsid w:val="00403E4D"/>
    <w:rsid w:val="004069C9"/>
    <w:rsid w:val="00406C7E"/>
    <w:rsid w:val="00407DA6"/>
    <w:rsid w:val="00407DC0"/>
    <w:rsid w:val="00412611"/>
    <w:rsid w:val="00412D8E"/>
    <w:rsid w:val="00412F92"/>
    <w:rsid w:val="0041410F"/>
    <w:rsid w:val="004143DD"/>
    <w:rsid w:val="00415817"/>
    <w:rsid w:val="0041589D"/>
    <w:rsid w:val="004158F5"/>
    <w:rsid w:val="004168CB"/>
    <w:rsid w:val="00416B6E"/>
    <w:rsid w:val="00417733"/>
    <w:rsid w:val="004202C4"/>
    <w:rsid w:val="00422B92"/>
    <w:rsid w:val="0042330C"/>
    <w:rsid w:val="00425A4B"/>
    <w:rsid w:val="00425B2B"/>
    <w:rsid w:val="004267A7"/>
    <w:rsid w:val="00431FA9"/>
    <w:rsid w:val="00432270"/>
    <w:rsid w:val="004345B9"/>
    <w:rsid w:val="00434688"/>
    <w:rsid w:val="00435BEF"/>
    <w:rsid w:val="00436D0A"/>
    <w:rsid w:val="0044057B"/>
    <w:rsid w:val="00440DF5"/>
    <w:rsid w:val="00441E86"/>
    <w:rsid w:val="0044493C"/>
    <w:rsid w:val="00444A2B"/>
    <w:rsid w:val="00444F74"/>
    <w:rsid w:val="004467F3"/>
    <w:rsid w:val="0044720F"/>
    <w:rsid w:val="00447C39"/>
    <w:rsid w:val="00451CE6"/>
    <w:rsid w:val="00454215"/>
    <w:rsid w:val="00454371"/>
    <w:rsid w:val="0046025B"/>
    <w:rsid w:val="00462109"/>
    <w:rsid w:val="004621B1"/>
    <w:rsid w:val="00462224"/>
    <w:rsid w:val="00462BA3"/>
    <w:rsid w:val="00462C09"/>
    <w:rsid w:val="0046314B"/>
    <w:rsid w:val="00463ACB"/>
    <w:rsid w:val="00463E62"/>
    <w:rsid w:val="00465193"/>
    <w:rsid w:val="00465B2C"/>
    <w:rsid w:val="00467F7E"/>
    <w:rsid w:val="00471617"/>
    <w:rsid w:val="004725E2"/>
    <w:rsid w:val="00472B09"/>
    <w:rsid w:val="00473EEB"/>
    <w:rsid w:val="00475D81"/>
    <w:rsid w:val="00476ACD"/>
    <w:rsid w:val="00480749"/>
    <w:rsid w:val="00484356"/>
    <w:rsid w:val="00486000"/>
    <w:rsid w:val="00486394"/>
    <w:rsid w:val="00486DDF"/>
    <w:rsid w:val="004876E8"/>
    <w:rsid w:val="004877EE"/>
    <w:rsid w:val="0049183D"/>
    <w:rsid w:val="00491AF9"/>
    <w:rsid w:val="00492CC8"/>
    <w:rsid w:val="00494100"/>
    <w:rsid w:val="00495115"/>
    <w:rsid w:val="00497684"/>
    <w:rsid w:val="00497BBC"/>
    <w:rsid w:val="00497F2C"/>
    <w:rsid w:val="004A0A9F"/>
    <w:rsid w:val="004A1611"/>
    <w:rsid w:val="004A2F3B"/>
    <w:rsid w:val="004A380B"/>
    <w:rsid w:val="004A3A6D"/>
    <w:rsid w:val="004A4272"/>
    <w:rsid w:val="004A4B4E"/>
    <w:rsid w:val="004A67A1"/>
    <w:rsid w:val="004A7AA0"/>
    <w:rsid w:val="004B12D7"/>
    <w:rsid w:val="004B42CB"/>
    <w:rsid w:val="004B6754"/>
    <w:rsid w:val="004B6F31"/>
    <w:rsid w:val="004B7559"/>
    <w:rsid w:val="004B797F"/>
    <w:rsid w:val="004C2FD7"/>
    <w:rsid w:val="004C4605"/>
    <w:rsid w:val="004D0342"/>
    <w:rsid w:val="004D0F59"/>
    <w:rsid w:val="004D172A"/>
    <w:rsid w:val="004D2322"/>
    <w:rsid w:val="004D3E47"/>
    <w:rsid w:val="004D5A8B"/>
    <w:rsid w:val="004E1ED9"/>
    <w:rsid w:val="004E226E"/>
    <w:rsid w:val="004E2AD5"/>
    <w:rsid w:val="004E2B38"/>
    <w:rsid w:val="004E37D9"/>
    <w:rsid w:val="004E41A6"/>
    <w:rsid w:val="004E4D6F"/>
    <w:rsid w:val="004E6E5A"/>
    <w:rsid w:val="004F019E"/>
    <w:rsid w:val="004F1076"/>
    <w:rsid w:val="004F120B"/>
    <w:rsid w:val="004F22B3"/>
    <w:rsid w:val="004F36C5"/>
    <w:rsid w:val="004F3D8B"/>
    <w:rsid w:val="004F62E3"/>
    <w:rsid w:val="004F63F9"/>
    <w:rsid w:val="004F7C27"/>
    <w:rsid w:val="00501E64"/>
    <w:rsid w:val="0050229C"/>
    <w:rsid w:val="0050295A"/>
    <w:rsid w:val="005035AC"/>
    <w:rsid w:val="005065BC"/>
    <w:rsid w:val="00506C78"/>
    <w:rsid w:val="00507535"/>
    <w:rsid w:val="00510306"/>
    <w:rsid w:val="005121DE"/>
    <w:rsid w:val="00512BF4"/>
    <w:rsid w:val="005154BA"/>
    <w:rsid w:val="00515EFB"/>
    <w:rsid w:val="00521354"/>
    <w:rsid w:val="00521D60"/>
    <w:rsid w:val="005225A3"/>
    <w:rsid w:val="00523965"/>
    <w:rsid w:val="00524215"/>
    <w:rsid w:val="005259CE"/>
    <w:rsid w:val="005264BB"/>
    <w:rsid w:val="00526CCC"/>
    <w:rsid w:val="00527C0B"/>
    <w:rsid w:val="005326C1"/>
    <w:rsid w:val="00532AFD"/>
    <w:rsid w:val="00532B91"/>
    <w:rsid w:val="00532D34"/>
    <w:rsid w:val="00534B33"/>
    <w:rsid w:val="0053502D"/>
    <w:rsid w:val="005351AE"/>
    <w:rsid w:val="00536445"/>
    <w:rsid w:val="005375D0"/>
    <w:rsid w:val="00537F1D"/>
    <w:rsid w:val="00541C5D"/>
    <w:rsid w:val="005424E7"/>
    <w:rsid w:val="00543A74"/>
    <w:rsid w:val="005455CA"/>
    <w:rsid w:val="00547293"/>
    <w:rsid w:val="00551245"/>
    <w:rsid w:val="00551C65"/>
    <w:rsid w:val="00553B06"/>
    <w:rsid w:val="00553B5B"/>
    <w:rsid w:val="00554448"/>
    <w:rsid w:val="0055481B"/>
    <w:rsid w:val="00554E66"/>
    <w:rsid w:val="005554B6"/>
    <w:rsid w:val="00555723"/>
    <w:rsid w:val="005579A9"/>
    <w:rsid w:val="005619A1"/>
    <w:rsid w:val="005619A8"/>
    <w:rsid w:val="00562297"/>
    <w:rsid w:val="00562530"/>
    <w:rsid w:val="00565297"/>
    <w:rsid w:val="00565D1F"/>
    <w:rsid w:val="0056600F"/>
    <w:rsid w:val="00566055"/>
    <w:rsid w:val="005678D8"/>
    <w:rsid w:val="00571289"/>
    <w:rsid w:val="00571411"/>
    <w:rsid w:val="00572238"/>
    <w:rsid w:val="00572B85"/>
    <w:rsid w:val="00574AA3"/>
    <w:rsid w:val="00577FB6"/>
    <w:rsid w:val="00580704"/>
    <w:rsid w:val="00580B33"/>
    <w:rsid w:val="00580D1A"/>
    <w:rsid w:val="0058112D"/>
    <w:rsid w:val="0058218D"/>
    <w:rsid w:val="0058221F"/>
    <w:rsid w:val="00582B00"/>
    <w:rsid w:val="0058323A"/>
    <w:rsid w:val="00584677"/>
    <w:rsid w:val="00585B40"/>
    <w:rsid w:val="005864EE"/>
    <w:rsid w:val="0058693A"/>
    <w:rsid w:val="0059033F"/>
    <w:rsid w:val="00590946"/>
    <w:rsid w:val="00590CD3"/>
    <w:rsid w:val="005915F2"/>
    <w:rsid w:val="0059265A"/>
    <w:rsid w:val="0059344D"/>
    <w:rsid w:val="005944BC"/>
    <w:rsid w:val="0059579C"/>
    <w:rsid w:val="005958B8"/>
    <w:rsid w:val="00595DE9"/>
    <w:rsid w:val="00596527"/>
    <w:rsid w:val="0059718F"/>
    <w:rsid w:val="005A0139"/>
    <w:rsid w:val="005A17CE"/>
    <w:rsid w:val="005A186A"/>
    <w:rsid w:val="005A285E"/>
    <w:rsid w:val="005A2929"/>
    <w:rsid w:val="005A38D6"/>
    <w:rsid w:val="005A5D78"/>
    <w:rsid w:val="005A6E3A"/>
    <w:rsid w:val="005B441E"/>
    <w:rsid w:val="005B5AD5"/>
    <w:rsid w:val="005B6BA8"/>
    <w:rsid w:val="005B7FE6"/>
    <w:rsid w:val="005C03B0"/>
    <w:rsid w:val="005C057B"/>
    <w:rsid w:val="005C1B18"/>
    <w:rsid w:val="005C26CC"/>
    <w:rsid w:val="005C280F"/>
    <w:rsid w:val="005C3684"/>
    <w:rsid w:val="005C4040"/>
    <w:rsid w:val="005C5333"/>
    <w:rsid w:val="005C5F9A"/>
    <w:rsid w:val="005C7D3D"/>
    <w:rsid w:val="005D66B9"/>
    <w:rsid w:val="005D6EF3"/>
    <w:rsid w:val="005E1976"/>
    <w:rsid w:val="005E5205"/>
    <w:rsid w:val="005E52FA"/>
    <w:rsid w:val="005E541F"/>
    <w:rsid w:val="005E570D"/>
    <w:rsid w:val="005E5E5D"/>
    <w:rsid w:val="005E7B77"/>
    <w:rsid w:val="005E7D81"/>
    <w:rsid w:val="005E7F80"/>
    <w:rsid w:val="005F1065"/>
    <w:rsid w:val="005F2184"/>
    <w:rsid w:val="005F3299"/>
    <w:rsid w:val="005F38F1"/>
    <w:rsid w:val="005F3BE2"/>
    <w:rsid w:val="005F6528"/>
    <w:rsid w:val="00600548"/>
    <w:rsid w:val="0060178F"/>
    <w:rsid w:val="00601FCB"/>
    <w:rsid w:val="00602EC1"/>
    <w:rsid w:val="00603E52"/>
    <w:rsid w:val="00605942"/>
    <w:rsid w:val="006067B5"/>
    <w:rsid w:val="00610693"/>
    <w:rsid w:val="006121A9"/>
    <w:rsid w:val="006121FF"/>
    <w:rsid w:val="00613FDE"/>
    <w:rsid w:val="0061499E"/>
    <w:rsid w:val="0061713E"/>
    <w:rsid w:val="006171B2"/>
    <w:rsid w:val="0061768D"/>
    <w:rsid w:val="00622234"/>
    <w:rsid w:val="00626B3F"/>
    <w:rsid w:val="006270DC"/>
    <w:rsid w:val="00627626"/>
    <w:rsid w:val="00627C50"/>
    <w:rsid w:val="0063092B"/>
    <w:rsid w:val="00630E48"/>
    <w:rsid w:val="00630FA7"/>
    <w:rsid w:val="006318C2"/>
    <w:rsid w:val="00631D7A"/>
    <w:rsid w:val="00633ACE"/>
    <w:rsid w:val="006342AD"/>
    <w:rsid w:val="006363CF"/>
    <w:rsid w:val="006365AD"/>
    <w:rsid w:val="006378BE"/>
    <w:rsid w:val="00640307"/>
    <w:rsid w:val="00640CCD"/>
    <w:rsid w:val="00641762"/>
    <w:rsid w:val="00642774"/>
    <w:rsid w:val="0064517F"/>
    <w:rsid w:val="00645276"/>
    <w:rsid w:val="006514DF"/>
    <w:rsid w:val="00651D03"/>
    <w:rsid w:val="00657A0A"/>
    <w:rsid w:val="006619DC"/>
    <w:rsid w:val="0066293A"/>
    <w:rsid w:val="0066499F"/>
    <w:rsid w:val="006649C4"/>
    <w:rsid w:val="0066648B"/>
    <w:rsid w:val="00666980"/>
    <w:rsid w:val="0067083D"/>
    <w:rsid w:val="006709C0"/>
    <w:rsid w:val="006733C0"/>
    <w:rsid w:val="0067570D"/>
    <w:rsid w:val="006760A1"/>
    <w:rsid w:val="006768EE"/>
    <w:rsid w:val="00680A62"/>
    <w:rsid w:val="006810DA"/>
    <w:rsid w:val="00686F1D"/>
    <w:rsid w:val="006875F0"/>
    <w:rsid w:val="00687625"/>
    <w:rsid w:val="00687A36"/>
    <w:rsid w:val="00690E60"/>
    <w:rsid w:val="00693D01"/>
    <w:rsid w:val="006943FF"/>
    <w:rsid w:val="00694FD7"/>
    <w:rsid w:val="0069575F"/>
    <w:rsid w:val="00696941"/>
    <w:rsid w:val="006A118F"/>
    <w:rsid w:val="006A139C"/>
    <w:rsid w:val="006A1F91"/>
    <w:rsid w:val="006A2D64"/>
    <w:rsid w:val="006A3060"/>
    <w:rsid w:val="006A4194"/>
    <w:rsid w:val="006A4A4B"/>
    <w:rsid w:val="006A5317"/>
    <w:rsid w:val="006A6247"/>
    <w:rsid w:val="006A630F"/>
    <w:rsid w:val="006A6578"/>
    <w:rsid w:val="006B0B5D"/>
    <w:rsid w:val="006B0E56"/>
    <w:rsid w:val="006B59B3"/>
    <w:rsid w:val="006B5B55"/>
    <w:rsid w:val="006B7074"/>
    <w:rsid w:val="006B7B86"/>
    <w:rsid w:val="006C2868"/>
    <w:rsid w:val="006C2F01"/>
    <w:rsid w:val="006C3BCE"/>
    <w:rsid w:val="006C67C7"/>
    <w:rsid w:val="006D18E4"/>
    <w:rsid w:val="006D41AE"/>
    <w:rsid w:val="006D42BD"/>
    <w:rsid w:val="006D64FC"/>
    <w:rsid w:val="006D657C"/>
    <w:rsid w:val="006E08D6"/>
    <w:rsid w:val="006E0FD5"/>
    <w:rsid w:val="006E10FD"/>
    <w:rsid w:val="006E1E4E"/>
    <w:rsid w:val="006E2533"/>
    <w:rsid w:val="006E2686"/>
    <w:rsid w:val="006E2E69"/>
    <w:rsid w:val="006E2FB6"/>
    <w:rsid w:val="006E70BF"/>
    <w:rsid w:val="006E77ED"/>
    <w:rsid w:val="006E7CF9"/>
    <w:rsid w:val="006F0831"/>
    <w:rsid w:val="006F1424"/>
    <w:rsid w:val="006F18C2"/>
    <w:rsid w:val="006F34BB"/>
    <w:rsid w:val="006F37CF"/>
    <w:rsid w:val="006F5546"/>
    <w:rsid w:val="006F7029"/>
    <w:rsid w:val="006F7220"/>
    <w:rsid w:val="00700792"/>
    <w:rsid w:val="00700FA7"/>
    <w:rsid w:val="00703E9E"/>
    <w:rsid w:val="00705F85"/>
    <w:rsid w:val="007066C4"/>
    <w:rsid w:val="0070782B"/>
    <w:rsid w:val="00710ED9"/>
    <w:rsid w:val="007118BE"/>
    <w:rsid w:val="00711A63"/>
    <w:rsid w:val="00716EF5"/>
    <w:rsid w:val="0071734F"/>
    <w:rsid w:val="00720059"/>
    <w:rsid w:val="007217E3"/>
    <w:rsid w:val="00723F6A"/>
    <w:rsid w:val="00724157"/>
    <w:rsid w:val="00725235"/>
    <w:rsid w:val="0072568A"/>
    <w:rsid w:val="00725DA2"/>
    <w:rsid w:val="00727754"/>
    <w:rsid w:val="0073149A"/>
    <w:rsid w:val="00731D65"/>
    <w:rsid w:val="00735B92"/>
    <w:rsid w:val="00740C9A"/>
    <w:rsid w:val="00742861"/>
    <w:rsid w:val="00744331"/>
    <w:rsid w:val="00745C48"/>
    <w:rsid w:val="00752A17"/>
    <w:rsid w:val="00752D41"/>
    <w:rsid w:val="00753F36"/>
    <w:rsid w:val="00754195"/>
    <w:rsid w:val="00754AB6"/>
    <w:rsid w:val="0075508F"/>
    <w:rsid w:val="007572FD"/>
    <w:rsid w:val="007610D2"/>
    <w:rsid w:val="00761312"/>
    <w:rsid w:val="0076181D"/>
    <w:rsid w:val="007644AA"/>
    <w:rsid w:val="00764986"/>
    <w:rsid w:val="0076593B"/>
    <w:rsid w:val="00765CE1"/>
    <w:rsid w:val="00767E57"/>
    <w:rsid w:val="00767EB3"/>
    <w:rsid w:val="00770D5F"/>
    <w:rsid w:val="00771749"/>
    <w:rsid w:val="00771C6C"/>
    <w:rsid w:val="007728B2"/>
    <w:rsid w:val="007733FC"/>
    <w:rsid w:val="00773E85"/>
    <w:rsid w:val="00774FB0"/>
    <w:rsid w:val="0077506D"/>
    <w:rsid w:val="007750EB"/>
    <w:rsid w:val="007770E1"/>
    <w:rsid w:val="0077731E"/>
    <w:rsid w:val="00782E7E"/>
    <w:rsid w:val="00783863"/>
    <w:rsid w:val="00783936"/>
    <w:rsid w:val="00783C10"/>
    <w:rsid w:val="00783E43"/>
    <w:rsid w:val="007856EE"/>
    <w:rsid w:val="0078692D"/>
    <w:rsid w:val="00790BEE"/>
    <w:rsid w:val="00790D0F"/>
    <w:rsid w:val="00795D1B"/>
    <w:rsid w:val="007969A6"/>
    <w:rsid w:val="00796AF7"/>
    <w:rsid w:val="00797DC2"/>
    <w:rsid w:val="007A13F1"/>
    <w:rsid w:val="007A5117"/>
    <w:rsid w:val="007A5AF2"/>
    <w:rsid w:val="007A722A"/>
    <w:rsid w:val="007A7B82"/>
    <w:rsid w:val="007B1B71"/>
    <w:rsid w:val="007B2F00"/>
    <w:rsid w:val="007B440B"/>
    <w:rsid w:val="007B53C9"/>
    <w:rsid w:val="007C0B3E"/>
    <w:rsid w:val="007C2D70"/>
    <w:rsid w:val="007C41F5"/>
    <w:rsid w:val="007C4426"/>
    <w:rsid w:val="007C5069"/>
    <w:rsid w:val="007C59F7"/>
    <w:rsid w:val="007C6973"/>
    <w:rsid w:val="007C7735"/>
    <w:rsid w:val="007D263E"/>
    <w:rsid w:val="007D319A"/>
    <w:rsid w:val="007D4373"/>
    <w:rsid w:val="007D4C46"/>
    <w:rsid w:val="007D5D96"/>
    <w:rsid w:val="007D7C6E"/>
    <w:rsid w:val="007E01DB"/>
    <w:rsid w:val="007E0B40"/>
    <w:rsid w:val="007E258D"/>
    <w:rsid w:val="007E52E4"/>
    <w:rsid w:val="007E5379"/>
    <w:rsid w:val="007E55C7"/>
    <w:rsid w:val="007E5E19"/>
    <w:rsid w:val="007E6BDD"/>
    <w:rsid w:val="007F0463"/>
    <w:rsid w:val="007F1240"/>
    <w:rsid w:val="007F17C7"/>
    <w:rsid w:val="007F2857"/>
    <w:rsid w:val="007F29C4"/>
    <w:rsid w:val="007F46DC"/>
    <w:rsid w:val="007F72D7"/>
    <w:rsid w:val="007F7858"/>
    <w:rsid w:val="00801EB0"/>
    <w:rsid w:val="008034A0"/>
    <w:rsid w:val="0080508F"/>
    <w:rsid w:val="008078D8"/>
    <w:rsid w:val="00807B12"/>
    <w:rsid w:val="008100E9"/>
    <w:rsid w:val="00810B0D"/>
    <w:rsid w:val="0081144B"/>
    <w:rsid w:val="008121E4"/>
    <w:rsid w:val="008124C7"/>
    <w:rsid w:val="008124F2"/>
    <w:rsid w:val="00812540"/>
    <w:rsid w:val="00815049"/>
    <w:rsid w:val="00815E8B"/>
    <w:rsid w:val="0081727E"/>
    <w:rsid w:val="0082028A"/>
    <w:rsid w:val="00820E2D"/>
    <w:rsid w:val="00822F5A"/>
    <w:rsid w:val="00822FDA"/>
    <w:rsid w:val="00823094"/>
    <w:rsid w:val="00823A60"/>
    <w:rsid w:val="00823FA4"/>
    <w:rsid w:val="008246C4"/>
    <w:rsid w:val="00824D17"/>
    <w:rsid w:val="00825FBE"/>
    <w:rsid w:val="00826FEB"/>
    <w:rsid w:val="0083027F"/>
    <w:rsid w:val="008308AB"/>
    <w:rsid w:val="00831249"/>
    <w:rsid w:val="008330A1"/>
    <w:rsid w:val="00833151"/>
    <w:rsid w:val="00833416"/>
    <w:rsid w:val="0083342D"/>
    <w:rsid w:val="00834F62"/>
    <w:rsid w:val="00834FAB"/>
    <w:rsid w:val="00834FF6"/>
    <w:rsid w:val="0083558F"/>
    <w:rsid w:val="00835C3C"/>
    <w:rsid w:val="00836B97"/>
    <w:rsid w:val="0084080D"/>
    <w:rsid w:val="00842D81"/>
    <w:rsid w:val="00844CCA"/>
    <w:rsid w:val="00845B85"/>
    <w:rsid w:val="008463D1"/>
    <w:rsid w:val="00850436"/>
    <w:rsid w:val="00851376"/>
    <w:rsid w:val="00862920"/>
    <w:rsid w:val="00863A56"/>
    <w:rsid w:val="00863D3E"/>
    <w:rsid w:val="008660D6"/>
    <w:rsid w:val="00870531"/>
    <w:rsid w:val="008712F5"/>
    <w:rsid w:val="00871F02"/>
    <w:rsid w:val="00873A09"/>
    <w:rsid w:val="00873A6D"/>
    <w:rsid w:val="0087579E"/>
    <w:rsid w:val="00877992"/>
    <w:rsid w:val="0088194F"/>
    <w:rsid w:val="00881B8D"/>
    <w:rsid w:val="00882041"/>
    <w:rsid w:val="0088406F"/>
    <w:rsid w:val="008843C5"/>
    <w:rsid w:val="00885D95"/>
    <w:rsid w:val="00886D3F"/>
    <w:rsid w:val="00891C44"/>
    <w:rsid w:val="00896AE2"/>
    <w:rsid w:val="0089713E"/>
    <w:rsid w:val="008A1F3B"/>
    <w:rsid w:val="008A2959"/>
    <w:rsid w:val="008A4637"/>
    <w:rsid w:val="008A5527"/>
    <w:rsid w:val="008A71A6"/>
    <w:rsid w:val="008B2AAC"/>
    <w:rsid w:val="008B46AD"/>
    <w:rsid w:val="008B5DD4"/>
    <w:rsid w:val="008C0387"/>
    <w:rsid w:val="008C077D"/>
    <w:rsid w:val="008C30E5"/>
    <w:rsid w:val="008C49C0"/>
    <w:rsid w:val="008C55A4"/>
    <w:rsid w:val="008C702B"/>
    <w:rsid w:val="008D1D0D"/>
    <w:rsid w:val="008D24CE"/>
    <w:rsid w:val="008D3283"/>
    <w:rsid w:val="008D32DF"/>
    <w:rsid w:val="008D5903"/>
    <w:rsid w:val="008D69B4"/>
    <w:rsid w:val="008E14A2"/>
    <w:rsid w:val="008E2D53"/>
    <w:rsid w:val="008E5217"/>
    <w:rsid w:val="008E5409"/>
    <w:rsid w:val="008E59BC"/>
    <w:rsid w:val="008E64DC"/>
    <w:rsid w:val="008E6FB5"/>
    <w:rsid w:val="008E706A"/>
    <w:rsid w:val="008F0173"/>
    <w:rsid w:val="008F1269"/>
    <w:rsid w:val="008F32CC"/>
    <w:rsid w:val="008F3FCF"/>
    <w:rsid w:val="008F5029"/>
    <w:rsid w:val="00900DEC"/>
    <w:rsid w:val="009017A7"/>
    <w:rsid w:val="0090326A"/>
    <w:rsid w:val="009033EB"/>
    <w:rsid w:val="00904493"/>
    <w:rsid w:val="00904832"/>
    <w:rsid w:val="00906DE7"/>
    <w:rsid w:val="009102B9"/>
    <w:rsid w:val="0091032A"/>
    <w:rsid w:val="00910792"/>
    <w:rsid w:val="00910F93"/>
    <w:rsid w:val="009142B3"/>
    <w:rsid w:val="0091458C"/>
    <w:rsid w:val="00915CB5"/>
    <w:rsid w:val="00920A23"/>
    <w:rsid w:val="00921648"/>
    <w:rsid w:val="00922D16"/>
    <w:rsid w:val="00923A30"/>
    <w:rsid w:val="00924AD1"/>
    <w:rsid w:val="00925359"/>
    <w:rsid w:val="00925628"/>
    <w:rsid w:val="00926777"/>
    <w:rsid w:val="00926DF4"/>
    <w:rsid w:val="00930A12"/>
    <w:rsid w:val="00931B7B"/>
    <w:rsid w:val="00936DBA"/>
    <w:rsid w:val="00940744"/>
    <w:rsid w:val="00940E80"/>
    <w:rsid w:val="0094338A"/>
    <w:rsid w:val="00944D34"/>
    <w:rsid w:val="0094696F"/>
    <w:rsid w:val="00953263"/>
    <w:rsid w:val="00953C51"/>
    <w:rsid w:val="0095727C"/>
    <w:rsid w:val="009606FE"/>
    <w:rsid w:val="00961199"/>
    <w:rsid w:val="0096281A"/>
    <w:rsid w:val="009630A5"/>
    <w:rsid w:val="009631FE"/>
    <w:rsid w:val="0096345F"/>
    <w:rsid w:val="009660E9"/>
    <w:rsid w:val="009679FA"/>
    <w:rsid w:val="00970141"/>
    <w:rsid w:val="00970E90"/>
    <w:rsid w:val="009714FC"/>
    <w:rsid w:val="009737BE"/>
    <w:rsid w:val="0097570A"/>
    <w:rsid w:val="0098096E"/>
    <w:rsid w:val="00980A39"/>
    <w:rsid w:val="0098311C"/>
    <w:rsid w:val="00983963"/>
    <w:rsid w:val="00984502"/>
    <w:rsid w:val="00984721"/>
    <w:rsid w:val="00985C65"/>
    <w:rsid w:val="00990880"/>
    <w:rsid w:val="0099109E"/>
    <w:rsid w:val="009914CD"/>
    <w:rsid w:val="00992FA2"/>
    <w:rsid w:val="00994006"/>
    <w:rsid w:val="009941C0"/>
    <w:rsid w:val="009968D7"/>
    <w:rsid w:val="0099727F"/>
    <w:rsid w:val="009A1937"/>
    <w:rsid w:val="009A286E"/>
    <w:rsid w:val="009A2AAA"/>
    <w:rsid w:val="009A39EC"/>
    <w:rsid w:val="009A4221"/>
    <w:rsid w:val="009A43E5"/>
    <w:rsid w:val="009A5C26"/>
    <w:rsid w:val="009B13E1"/>
    <w:rsid w:val="009B2D0D"/>
    <w:rsid w:val="009B3C63"/>
    <w:rsid w:val="009B4071"/>
    <w:rsid w:val="009B4B23"/>
    <w:rsid w:val="009B7055"/>
    <w:rsid w:val="009B7722"/>
    <w:rsid w:val="009B77BF"/>
    <w:rsid w:val="009C71A6"/>
    <w:rsid w:val="009D01DC"/>
    <w:rsid w:val="009D1D28"/>
    <w:rsid w:val="009D441F"/>
    <w:rsid w:val="009D5D3D"/>
    <w:rsid w:val="009D7D51"/>
    <w:rsid w:val="009E02B8"/>
    <w:rsid w:val="009E11CD"/>
    <w:rsid w:val="009E179F"/>
    <w:rsid w:val="009E20E9"/>
    <w:rsid w:val="009E3765"/>
    <w:rsid w:val="009E3CF3"/>
    <w:rsid w:val="009E3ECE"/>
    <w:rsid w:val="009E4C0C"/>
    <w:rsid w:val="009E4E38"/>
    <w:rsid w:val="009E51DF"/>
    <w:rsid w:val="009E7816"/>
    <w:rsid w:val="009F05A3"/>
    <w:rsid w:val="009F16F8"/>
    <w:rsid w:val="009F1FE8"/>
    <w:rsid w:val="009F7151"/>
    <w:rsid w:val="00A00C5F"/>
    <w:rsid w:val="00A02437"/>
    <w:rsid w:val="00A04C66"/>
    <w:rsid w:val="00A06208"/>
    <w:rsid w:val="00A0682B"/>
    <w:rsid w:val="00A06BBD"/>
    <w:rsid w:val="00A0771D"/>
    <w:rsid w:val="00A107BE"/>
    <w:rsid w:val="00A10E33"/>
    <w:rsid w:val="00A11312"/>
    <w:rsid w:val="00A113D4"/>
    <w:rsid w:val="00A119C2"/>
    <w:rsid w:val="00A129DF"/>
    <w:rsid w:val="00A13D07"/>
    <w:rsid w:val="00A146DD"/>
    <w:rsid w:val="00A158FD"/>
    <w:rsid w:val="00A15947"/>
    <w:rsid w:val="00A17FA3"/>
    <w:rsid w:val="00A236E2"/>
    <w:rsid w:val="00A23A9C"/>
    <w:rsid w:val="00A2516A"/>
    <w:rsid w:val="00A263F7"/>
    <w:rsid w:val="00A270F4"/>
    <w:rsid w:val="00A30432"/>
    <w:rsid w:val="00A30D23"/>
    <w:rsid w:val="00A32196"/>
    <w:rsid w:val="00A3513C"/>
    <w:rsid w:val="00A362BC"/>
    <w:rsid w:val="00A365A5"/>
    <w:rsid w:val="00A36750"/>
    <w:rsid w:val="00A36AE9"/>
    <w:rsid w:val="00A37A85"/>
    <w:rsid w:val="00A37CBD"/>
    <w:rsid w:val="00A44A0E"/>
    <w:rsid w:val="00A44CCC"/>
    <w:rsid w:val="00A47929"/>
    <w:rsid w:val="00A50A81"/>
    <w:rsid w:val="00A50E20"/>
    <w:rsid w:val="00A51692"/>
    <w:rsid w:val="00A52867"/>
    <w:rsid w:val="00A53BD2"/>
    <w:rsid w:val="00A54F8E"/>
    <w:rsid w:val="00A557AD"/>
    <w:rsid w:val="00A5628F"/>
    <w:rsid w:val="00A56DE3"/>
    <w:rsid w:val="00A57F38"/>
    <w:rsid w:val="00A613F1"/>
    <w:rsid w:val="00A61BA9"/>
    <w:rsid w:val="00A62BE3"/>
    <w:rsid w:val="00A64291"/>
    <w:rsid w:val="00A64E22"/>
    <w:rsid w:val="00A65193"/>
    <w:rsid w:val="00A672A9"/>
    <w:rsid w:val="00A71A0A"/>
    <w:rsid w:val="00A71FE6"/>
    <w:rsid w:val="00A72B0E"/>
    <w:rsid w:val="00A72C33"/>
    <w:rsid w:val="00A73605"/>
    <w:rsid w:val="00A74079"/>
    <w:rsid w:val="00A753F2"/>
    <w:rsid w:val="00A75466"/>
    <w:rsid w:val="00A757EF"/>
    <w:rsid w:val="00A75E20"/>
    <w:rsid w:val="00A75FE4"/>
    <w:rsid w:val="00A7603B"/>
    <w:rsid w:val="00A77EB6"/>
    <w:rsid w:val="00A806A7"/>
    <w:rsid w:val="00A82293"/>
    <w:rsid w:val="00A84132"/>
    <w:rsid w:val="00A906D8"/>
    <w:rsid w:val="00A907AD"/>
    <w:rsid w:val="00A91FBC"/>
    <w:rsid w:val="00A92924"/>
    <w:rsid w:val="00A92AA8"/>
    <w:rsid w:val="00A93B63"/>
    <w:rsid w:val="00A95EAD"/>
    <w:rsid w:val="00A969EC"/>
    <w:rsid w:val="00A976F4"/>
    <w:rsid w:val="00AA01F3"/>
    <w:rsid w:val="00AA03F9"/>
    <w:rsid w:val="00AA06C5"/>
    <w:rsid w:val="00AB11C7"/>
    <w:rsid w:val="00AB3324"/>
    <w:rsid w:val="00AB531F"/>
    <w:rsid w:val="00AB5B6B"/>
    <w:rsid w:val="00AB6CAD"/>
    <w:rsid w:val="00AC387A"/>
    <w:rsid w:val="00AC56CD"/>
    <w:rsid w:val="00AC5E63"/>
    <w:rsid w:val="00AC6556"/>
    <w:rsid w:val="00AC68DD"/>
    <w:rsid w:val="00AC70FA"/>
    <w:rsid w:val="00AC78B8"/>
    <w:rsid w:val="00AD24FD"/>
    <w:rsid w:val="00AD48F3"/>
    <w:rsid w:val="00AD4AAB"/>
    <w:rsid w:val="00AD509E"/>
    <w:rsid w:val="00AD6161"/>
    <w:rsid w:val="00AD63D9"/>
    <w:rsid w:val="00AD7A33"/>
    <w:rsid w:val="00AE088A"/>
    <w:rsid w:val="00AE0A5A"/>
    <w:rsid w:val="00AE0EC3"/>
    <w:rsid w:val="00AE1853"/>
    <w:rsid w:val="00AE7D48"/>
    <w:rsid w:val="00AF0466"/>
    <w:rsid w:val="00AF15A4"/>
    <w:rsid w:val="00AF1639"/>
    <w:rsid w:val="00AF1E14"/>
    <w:rsid w:val="00AF2116"/>
    <w:rsid w:val="00AF4AD6"/>
    <w:rsid w:val="00AF5222"/>
    <w:rsid w:val="00AF6247"/>
    <w:rsid w:val="00B000A9"/>
    <w:rsid w:val="00B00D52"/>
    <w:rsid w:val="00B01D8B"/>
    <w:rsid w:val="00B01E65"/>
    <w:rsid w:val="00B04792"/>
    <w:rsid w:val="00B0517A"/>
    <w:rsid w:val="00B0686B"/>
    <w:rsid w:val="00B07482"/>
    <w:rsid w:val="00B07518"/>
    <w:rsid w:val="00B107D6"/>
    <w:rsid w:val="00B12145"/>
    <w:rsid w:val="00B1224D"/>
    <w:rsid w:val="00B13568"/>
    <w:rsid w:val="00B14420"/>
    <w:rsid w:val="00B1783D"/>
    <w:rsid w:val="00B2009D"/>
    <w:rsid w:val="00B21BAE"/>
    <w:rsid w:val="00B22630"/>
    <w:rsid w:val="00B238D0"/>
    <w:rsid w:val="00B24442"/>
    <w:rsid w:val="00B25DD4"/>
    <w:rsid w:val="00B26858"/>
    <w:rsid w:val="00B30342"/>
    <w:rsid w:val="00B32835"/>
    <w:rsid w:val="00B3454A"/>
    <w:rsid w:val="00B34C47"/>
    <w:rsid w:val="00B3622C"/>
    <w:rsid w:val="00B372C6"/>
    <w:rsid w:val="00B4334F"/>
    <w:rsid w:val="00B43BBA"/>
    <w:rsid w:val="00B44FCC"/>
    <w:rsid w:val="00B45ABA"/>
    <w:rsid w:val="00B4666C"/>
    <w:rsid w:val="00B46928"/>
    <w:rsid w:val="00B5155A"/>
    <w:rsid w:val="00B521F1"/>
    <w:rsid w:val="00B53388"/>
    <w:rsid w:val="00B542AE"/>
    <w:rsid w:val="00B54DA3"/>
    <w:rsid w:val="00B56A1D"/>
    <w:rsid w:val="00B57723"/>
    <w:rsid w:val="00B60603"/>
    <w:rsid w:val="00B61942"/>
    <w:rsid w:val="00B6565F"/>
    <w:rsid w:val="00B6653F"/>
    <w:rsid w:val="00B66970"/>
    <w:rsid w:val="00B66DD2"/>
    <w:rsid w:val="00B672BF"/>
    <w:rsid w:val="00B6738C"/>
    <w:rsid w:val="00B70BD3"/>
    <w:rsid w:val="00B71017"/>
    <w:rsid w:val="00B72F38"/>
    <w:rsid w:val="00B735F5"/>
    <w:rsid w:val="00B74E8D"/>
    <w:rsid w:val="00B76E4A"/>
    <w:rsid w:val="00B802E9"/>
    <w:rsid w:val="00B813AE"/>
    <w:rsid w:val="00B819DD"/>
    <w:rsid w:val="00B8406E"/>
    <w:rsid w:val="00B86962"/>
    <w:rsid w:val="00B91870"/>
    <w:rsid w:val="00B928AF"/>
    <w:rsid w:val="00B93703"/>
    <w:rsid w:val="00B93D55"/>
    <w:rsid w:val="00B94A70"/>
    <w:rsid w:val="00B95D88"/>
    <w:rsid w:val="00B96C9B"/>
    <w:rsid w:val="00B97A9E"/>
    <w:rsid w:val="00BA1B3A"/>
    <w:rsid w:val="00BA348B"/>
    <w:rsid w:val="00BA59DE"/>
    <w:rsid w:val="00BA5BEA"/>
    <w:rsid w:val="00BA688B"/>
    <w:rsid w:val="00BA7EE8"/>
    <w:rsid w:val="00BB1D7A"/>
    <w:rsid w:val="00BB2F79"/>
    <w:rsid w:val="00BB4169"/>
    <w:rsid w:val="00BB58BA"/>
    <w:rsid w:val="00BB6178"/>
    <w:rsid w:val="00BB638E"/>
    <w:rsid w:val="00BB65D7"/>
    <w:rsid w:val="00BC0168"/>
    <w:rsid w:val="00BC017C"/>
    <w:rsid w:val="00BC1667"/>
    <w:rsid w:val="00BC2661"/>
    <w:rsid w:val="00BC2982"/>
    <w:rsid w:val="00BC40AD"/>
    <w:rsid w:val="00BC5C37"/>
    <w:rsid w:val="00BC6259"/>
    <w:rsid w:val="00BC6746"/>
    <w:rsid w:val="00BD0096"/>
    <w:rsid w:val="00BD120B"/>
    <w:rsid w:val="00BD21DB"/>
    <w:rsid w:val="00BD3DFD"/>
    <w:rsid w:val="00BD46B3"/>
    <w:rsid w:val="00BD49D1"/>
    <w:rsid w:val="00BD57A2"/>
    <w:rsid w:val="00BD7E27"/>
    <w:rsid w:val="00BE0018"/>
    <w:rsid w:val="00BE19CD"/>
    <w:rsid w:val="00BE423B"/>
    <w:rsid w:val="00BE49EB"/>
    <w:rsid w:val="00BE4E26"/>
    <w:rsid w:val="00BE50AB"/>
    <w:rsid w:val="00BF1D97"/>
    <w:rsid w:val="00BF31D4"/>
    <w:rsid w:val="00BF5A7D"/>
    <w:rsid w:val="00BF5CD9"/>
    <w:rsid w:val="00BF6418"/>
    <w:rsid w:val="00BF7EB1"/>
    <w:rsid w:val="00C004FE"/>
    <w:rsid w:val="00C00B31"/>
    <w:rsid w:val="00C00C73"/>
    <w:rsid w:val="00C018EB"/>
    <w:rsid w:val="00C03185"/>
    <w:rsid w:val="00C0473A"/>
    <w:rsid w:val="00C051A1"/>
    <w:rsid w:val="00C06528"/>
    <w:rsid w:val="00C06977"/>
    <w:rsid w:val="00C070AE"/>
    <w:rsid w:val="00C071EA"/>
    <w:rsid w:val="00C0771F"/>
    <w:rsid w:val="00C1018C"/>
    <w:rsid w:val="00C106BD"/>
    <w:rsid w:val="00C107A4"/>
    <w:rsid w:val="00C12DC4"/>
    <w:rsid w:val="00C13924"/>
    <w:rsid w:val="00C14207"/>
    <w:rsid w:val="00C16A6C"/>
    <w:rsid w:val="00C17C8D"/>
    <w:rsid w:val="00C21E12"/>
    <w:rsid w:val="00C23329"/>
    <w:rsid w:val="00C23E4B"/>
    <w:rsid w:val="00C25692"/>
    <w:rsid w:val="00C256A0"/>
    <w:rsid w:val="00C30861"/>
    <w:rsid w:val="00C35A14"/>
    <w:rsid w:val="00C362E6"/>
    <w:rsid w:val="00C36562"/>
    <w:rsid w:val="00C36DD9"/>
    <w:rsid w:val="00C36F6F"/>
    <w:rsid w:val="00C37061"/>
    <w:rsid w:val="00C418D1"/>
    <w:rsid w:val="00C425F1"/>
    <w:rsid w:val="00C43146"/>
    <w:rsid w:val="00C432D1"/>
    <w:rsid w:val="00C43D80"/>
    <w:rsid w:val="00C478A4"/>
    <w:rsid w:val="00C51BB0"/>
    <w:rsid w:val="00C51F97"/>
    <w:rsid w:val="00C55A82"/>
    <w:rsid w:val="00C56D46"/>
    <w:rsid w:val="00C57A8F"/>
    <w:rsid w:val="00C60884"/>
    <w:rsid w:val="00C6283A"/>
    <w:rsid w:val="00C63730"/>
    <w:rsid w:val="00C64475"/>
    <w:rsid w:val="00C647FE"/>
    <w:rsid w:val="00C64DD0"/>
    <w:rsid w:val="00C66DE7"/>
    <w:rsid w:val="00C6713F"/>
    <w:rsid w:val="00C7036E"/>
    <w:rsid w:val="00C7055E"/>
    <w:rsid w:val="00C713AB"/>
    <w:rsid w:val="00C71DA6"/>
    <w:rsid w:val="00C72444"/>
    <w:rsid w:val="00C72502"/>
    <w:rsid w:val="00C73C5D"/>
    <w:rsid w:val="00C752BB"/>
    <w:rsid w:val="00C754EC"/>
    <w:rsid w:val="00C76615"/>
    <w:rsid w:val="00C76F46"/>
    <w:rsid w:val="00C77C80"/>
    <w:rsid w:val="00C8219D"/>
    <w:rsid w:val="00C82D0F"/>
    <w:rsid w:val="00C8308E"/>
    <w:rsid w:val="00C844B8"/>
    <w:rsid w:val="00C857EA"/>
    <w:rsid w:val="00C85D1B"/>
    <w:rsid w:val="00C907AF"/>
    <w:rsid w:val="00C94AAD"/>
    <w:rsid w:val="00C94E54"/>
    <w:rsid w:val="00C95A39"/>
    <w:rsid w:val="00C960F9"/>
    <w:rsid w:val="00C97980"/>
    <w:rsid w:val="00C97EDF"/>
    <w:rsid w:val="00CA1DAE"/>
    <w:rsid w:val="00CA46EF"/>
    <w:rsid w:val="00CA6DB8"/>
    <w:rsid w:val="00CB0545"/>
    <w:rsid w:val="00CB06E4"/>
    <w:rsid w:val="00CB1158"/>
    <w:rsid w:val="00CB26B8"/>
    <w:rsid w:val="00CB306A"/>
    <w:rsid w:val="00CB5F78"/>
    <w:rsid w:val="00CB6C0D"/>
    <w:rsid w:val="00CB7C31"/>
    <w:rsid w:val="00CC0028"/>
    <w:rsid w:val="00CC01AF"/>
    <w:rsid w:val="00CC2D97"/>
    <w:rsid w:val="00CC4D5A"/>
    <w:rsid w:val="00CC58A5"/>
    <w:rsid w:val="00CC5BB0"/>
    <w:rsid w:val="00CC627E"/>
    <w:rsid w:val="00CC6A14"/>
    <w:rsid w:val="00CC6E75"/>
    <w:rsid w:val="00CC7474"/>
    <w:rsid w:val="00CC77EA"/>
    <w:rsid w:val="00CD3000"/>
    <w:rsid w:val="00CD557B"/>
    <w:rsid w:val="00CD5D69"/>
    <w:rsid w:val="00CE0990"/>
    <w:rsid w:val="00CE0E06"/>
    <w:rsid w:val="00CE1797"/>
    <w:rsid w:val="00CE2AEC"/>
    <w:rsid w:val="00CE6D06"/>
    <w:rsid w:val="00CE6E2D"/>
    <w:rsid w:val="00CE6FDD"/>
    <w:rsid w:val="00CE7CA5"/>
    <w:rsid w:val="00CF089B"/>
    <w:rsid w:val="00CF1563"/>
    <w:rsid w:val="00CF25CF"/>
    <w:rsid w:val="00CF33E9"/>
    <w:rsid w:val="00CF3EC2"/>
    <w:rsid w:val="00CF431F"/>
    <w:rsid w:val="00CF7762"/>
    <w:rsid w:val="00D00A87"/>
    <w:rsid w:val="00D00FDA"/>
    <w:rsid w:val="00D00FE3"/>
    <w:rsid w:val="00D01054"/>
    <w:rsid w:val="00D01411"/>
    <w:rsid w:val="00D01630"/>
    <w:rsid w:val="00D026F9"/>
    <w:rsid w:val="00D04D09"/>
    <w:rsid w:val="00D06F87"/>
    <w:rsid w:val="00D07BEB"/>
    <w:rsid w:val="00D13E2F"/>
    <w:rsid w:val="00D17C23"/>
    <w:rsid w:val="00D200EE"/>
    <w:rsid w:val="00D246F6"/>
    <w:rsid w:val="00D26AFB"/>
    <w:rsid w:val="00D304E0"/>
    <w:rsid w:val="00D3124B"/>
    <w:rsid w:val="00D3217A"/>
    <w:rsid w:val="00D32248"/>
    <w:rsid w:val="00D33BD2"/>
    <w:rsid w:val="00D3485A"/>
    <w:rsid w:val="00D360EF"/>
    <w:rsid w:val="00D37D6A"/>
    <w:rsid w:val="00D400D4"/>
    <w:rsid w:val="00D40642"/>
    <w:rsid w:val="00D41828"/>
    <w:rsid w:val="00D4263D"/>
    <w:rsid w:val="00D42E06"/>
    <w:rsid w:val="00D474CD"/>
    <w:rsid w:val="00D4767A"/>
    <w:rsid w:val="00D5167E"/>
    <w:rsid w:val="00D51C56"/>
    <w:rsid w:val="00D52207"/>
    <w:rsid w:val="00D52459"/>
    <w:rsid w:val="00D53462"/>
    <w:rsid w:val="00D53664"/>
    <w:rsid w:val="00D5436E"/>
    <w:rsid w:val="00D55734"/>
    <w:rsid w:val="00D56A0C"/>
    <w:rsid w:val="00D57E1B"/>
    <w:rsid w:val="00D61108"/>
    <w:rsid w:val="00D62E20"/>
    <w:rsid w:val="00D63EF7"/>
    <w:rsid w:val="00D64A38"/>
    <w:rsid w:val="00D64D93"/>
    <w:rsid w:val="00D662E5"/>
    <w:rsid w:val="00D66908"/>
    <w:rsid w:val="00D66F13"/>
    <w:rsid w:val="00D72B69"/>
    <w:rsid w:val="00D73001"/>
    <w:rsid w:val="00D73532"/>
    <w:rsid w:val="00D73A1B"/>
    <w:rsid w:val="00D73E12"/>
    <w:rsid w:val="00D745B1"/>
    <w:rsid w:val="00D747C4"/>
    <w:rsid w:val="00D74C6A"/>
    <w:rsid w:val="00D74D0D"/>
    <w:rsid w:val="00D74F3D"/>
    <w:rsid w:val="00D751A9"/>
    <w:rsid w:val="00D75435"/>
    <w:rsid w:val="00D75C1A"/>
    <w:rsid w:val="00D75D05"/>
    <w:rsid w:val="00D75E70"/>
    <w:rsid w:val="00D76375"/>
    <w:rsid w:val="00D764CC"/>
    <w:rsid w:val="00D773A8"/>
    <w:rsid w:val="00D77B3A"/>
    <w:rsid w:val="00D81149"/>
    <w:rsid w:val="00D8443E"/>
    <w:rsid w:val="00D84BE9"/>
    <w:rsid w:val="00D85398"/>
    <w:rsid w:val="00D87717"/>
    <w:rsid w:val="00D900BE"/>
    <w:rsid w:val="00D913D4"/>
    <w:rsid w:val="00D9175E"/>
    <w:rsid w:val="00D92627"/>
    <w:rsid w:val="00D93B25"/>
    <w:rsid w:val="00D94927"/>
    <w:rsid w:val="00D97B73"/>
    <w:rsid w:val="00DA06FC"/>
    <w:rsid w:val="00DA09A4"/>
    <w:rsid w:val="00DA0DE5"/>
    <w:rsid w:val="00DA126A"/>
    <w:rsid w:val="00DA2569"/>
    <w:rsid w:val="00DA3169"/>
    <w:rsid w:val="00DA376E"/>
    <w:rsid w:val="00DA3DBA"/>
    <w:rsid w:val="00DB0706"/>
    <w:rsid w:val="00DB0B3B"/>
    <w:rsid w:val="00DB14E0"/>
    <w:rsid w:val="00DB1A8F"/>
    <w:rsid w:val="00DB1D0A"/>
    <w:rsid w:val="00DB3BAB"/>
    <w:rsid w:val="00DB4169"/>
    <w:rsid w:val="00DB4387"/>
    <w:rsid w:val="00DB692D"/>
    <w:rsid w:val="00DB74D3"/>
    <w:rsid w:val="00DC043A"/>
    <w:rsid w:val="00DC2745"/>
    <w:rsid w:val="00DC5BB4"/>
    <w:rsid w:val="00DC681A"/>
    <w:rsid w:val="00DC7053"/>
    <w:rsid w:val="00DC71E2"/>
    <w:rsid w:val="00DD1305"/>
    <w:rsid w:val="00DD30A1"/>
    <w:rsid w:val="00DD4115"/>
    <w:rsid w:val="00DD57DB"/>
    <w:rsid w:val="00DD5AC2"/>
    <w:rsid w:val="00DD5E60"/>
    <w:rsid w:val="00DD6AEC"/>
    <w:rsid w:val="00DD6CFE"/>
    <w:rsid w:val="00DE06C0"/>
    <w:rsid w:val="00DE10FC"/>
    <w:rsid w:val="00DE21E8"/>
    <w:rsid w:val="00DE4C69"/>
    <w:rsid w:val="00DE5495"/>
    <w:rsid w:val="00DE5AC8"/>
    <w:rsid w:val="00DE6F57"/>
    <w:rsid w:val="00DF0584"/>
    <w:rsid w:val="00DF0F04"/>
    <w:rsid w:val="00DF1CF9"/>
    <w:rsid w:val="00DF2710"/>
    <w:rsid w:val="00DF3751"/>
    <w:rsid w:val="00DF4257"/>
    <w:rsid w:val="00DF55D8"/>
    <w:rsid w:val="00DF6E31"/>
    <w:rsid w:val="00DF7724"/>
    <w:rsid w:val="00E016F2"/>
    <w:rsid w:val="00E01EDF"/>
    <w:rsid w:val="00E03C24"/>
    <w:rsid w:val="00E05E57"/>
    <w:rsid w:val="00E076FF"/>
    <w:rsid w:val="00E07866"/>
    <w:rsid w:val="00E10381"/>
    <w:rsid w:val="00E11D78"/>
    <w:rsid w:val="00E14889"/>
    <w:rsid w:val="00E15135"/>
    <w:rsid w:val="00E151C9"/>
    <w:rsid w:val="00E1600D"/>
    <w:rsid w:val="00E160C5"/>
    <w:rsid w:val="00E20B6F"/>
    <w:rsid w:val="00E23B8C"/>
    <w:rsid w:val="00E24C3E"/>
    <w:rsid w:val="00E24D66"/>
    <w:rsid w:val="00E25293"/>
    <w:rsid w:val="00E263EA"/>
    <w:rsid w:val="00E300E3"/>
    <w:rsid w:val="00E31357"/>
    <w:rsid w:val="00E316D0"/>
    <w:rsid w:val="00E31C67"/>
    <w:rsid w:val="00E31C97"/>
    <w:rsid w:val="00E32223"/>
    <w:rsid w:val="00E32363"/>
    <w:rsid w:val="00E348BD"/>
    <w:rsid w:val="00E35CD0"/>
    <w:rsid w:val="00E4179C"/>
    <w:rsid w:val="00E42B0F"/>
    <w:rsid w:val="00E4679D"/>
    <w:rsid w:val="00E469AB"/>
    <w:rsid w:val="00E50977"/>
    <w:rsid w:val="00E52CCE"/>
    <w:rsid w:val="00E52F33"/>
    <w:rsid w:val="00E544F6"/>
    <w:rsid w:val="00E549AA"/>
    <w:rsid w:val="00E55B98"/>
    <w:rsid w:val="00E60B15"/>
    <w:rsid w:val="00E60FD5"/>
    <w:rsid w:val="00E61AD7"/>
    <w:rsid w:val="00E622BF"/>
    <w:rsid w:val="00E64DAA"/>
    <w:rsid w:val="00E664A4"/>
    <w:rsid w:val="00E66F16"/>
    <w:rsid w:val="00E67516"/>
    <w:rsid w:val="00E70A00"/>
    <w:rsid w:val="00E72E24"/>
    <w:rsid w:val="00E73014"/>
    <w:rsid w:val="00E75B87"/>
    <w:rsid w:val="00E75E32"/>
    <w:rsid w:val="00E75EF6"/>
    <w:rsid w:val="00E80FED"/>
    <w:rsid w:val="00E8220C"/>
    <w:rsid w:val="00E82DAC"/>
    <w:rsid w:val="00E835D9"/>
    <w:rsid w:val="00E857FC"/>
    <w:rsid w:val="00E85FBA"/>
    <w:rsid w:val="00E87197"/>
    <w:rsid w:val="00E87A79"/>
    <w:rsid w:val="00E911C1"/>
    <w:rsid w:val="00E91431"/>
    <w:rsid w:val="00E956ED"/>
    <w:rsid w:val="00E95F94"/>
    <w:rsid w:val="00E96CFA"/>
    <w:rsid w:val="00E977CC"/>
    <w:rsid w:val="00EA1EDC"/>
    <w:rsid w:val="00EA458F"/>
    <w:rsid w:val="00EA4661"/>
    <w:rsid w:val="00EA4D31"/>
    <w:rsid w:val="00EA5EEB"/>
    <w:rsid w:val="00EA6200"/>
    <w:rsid w:val="00EA7166"/>
    <w:rsid w:val="00EB0336"/>
    <w:rsid w:val="00EB33D4"/>
    <w:rsid w:val="00EB51B1"/>
    <w:rsid w:val="00EB5FDF"/>
    <w:rsid w:val="00EB6DC1"/>
    <w:rsid w:val="00EB71F0"/>
    <w:rsid w:val="00EB77A0"/>
    <w:rsid w:val="00EC1BF7"/>
    <w:rsid w:val="00EC4AD9"/>
    <w:rsid w:val="00EC5A68"/>
    <w:rsid w:val="00ED0C30"/>
    <w:rsid w:val="00ED21DF"/>
    <w:rsid w:val="00ED37B8"/>
    <w:rsid w:val="00ED3C80"/>
    <w:rsid w:val="00ED3DFA"/>
    <w:rsid w:val="00ED567E"/>
    <w:rsid w:val="00ED5C14"/>
    <w:rsid w:val="00ED6F03"/>
    <w:rsid w:val="00ED70A8"/>
    <w:rsid w:val="00ED7D92"/>
    <w:rsid w:val="00EE0CF3"/>
    <w:rsid w:val="00EE2662"/>
    <w:rsid w:val="00EE67EB"/>
    <w:rsid w:val="00EE6F4A"/>
    <w:rsid w:val="00EF0BCD"/>
    <w:rsid w:val="00EF0E6E"/>
    <w:rsid w:val="00EF1497"/>
    <w:rsid w:val="00EF24D3"/>
    <w:rsid w:val="00EF3911"/>
    <w:rsid w:val="00EF4B79"/>
    <w:rsid w:val="00EF4C47"/>
    <w:rsid w:val="00F0181C"/>
    <w:rsid w:val="00F01CD3"/>
    <w:rsid w:val="00F02175"/>
    <w:rsid w:val="00F03CB5"/>
    <w:rsid w:val="00F0414E"/>
    <w:rsid w:val="00F05AD4"/>
    <w:rsid w:val="00F0761A"/>
    <w:rsid w:val="00F1113B"/>
    <w:rsid w:val="00F11772"/>
    <w:rsid w:val="00F13D94"/>
    <w:rsid w:val="00F14B84"/>
    <w:rsid w:val="00F15516"/>
    <w:rsid w:val="00F15A7F"/>
    <w:rsid w:val="00F17690"/>
    <w:rsid w:val="00F20DD0"/>
    <w:rsid w:val="00F2110A"/>
    <w:rsid w:val="00F23533"/>
    <w:rsid w:val="00F243D5"/>
    <w:rsid w:val="00F2635A"/>
    <w:rsid w:val="00F26D09"/>
    <w:rsid w:val="00F27143"/>
    <w:rsid w:val="00F27CE8"/>
    <w:rsid w:val="00F30223"/>
    <w:rsid w:val="00F312BA"/>
    <w:rsid w:val="00F319EC"/>
    <w:rsid w:val="00F326D3"/>
    <w:rsid w:val="00F3383E"/>
    <w:rsid w:val="00F34825"/>
    <w:rsid w:val="00F36D77"/>
    <w:rsid w:val="00F37155"/>
    <w:rsid w:val="00F375A9"/>
    <w:rsid w:val="00F40712"/>
    <w:rsid w:val="00F41EC8"/>
    <w:rsid w:val="00F44F88"/>
    <w:rsid w:val="00F520DF"/>
    <w:rsid w:val="00F5309F"/>
    <w:rsid w:val="00F534BE"/>
    <w:rsid w:val="00F53F9E"/>
    <w:rsid w:val="00F559F1"/>
    <w:rsid w:val="00F5677B"/>
    <w:rsid w:val="00F60695"/>
    <w:rsid w:val="00F60A36"/>
    <w:rsid w:val="00F62059"/>
    <w:rsid w:val="00F63323"/>
    <w:rsid w:val="00F63FDF"/>
    <w:rsid w:val="00F653D3"/>
    <w:rsid w:val="00F65DA4"/>
    <w:rsid w:val="00F71957"/>
    <w:rsid w:val="00F72FD5"/>
    <w:rsid w:val="00F741C3"/>
    <w:rsid w:val="00F74E57"/>
    <w:rsid w:val="00F77BA1"/>
    <w:rsid w:val="00F80417"/>
    <w:rsid w:val="00F83432"/>
    <w:rsid w:val="00F83AEF"/>
    <w:rsid w:val="00F83DD4"/>
    <w:rsid w:val="00F85A69"/>
    <w:rsid w:val="00F85CC9"/>
    <w:rsid w:val="00F85E13"/>
    <w:rsid w:val="00F862F7"/>
    <w:rsid w:val="00F86C08"/>
    <w:rsid w:val="00F86D89"/>
    <w:rsid w:val="00F8777F"/>
    <w:rsid w:val="00F904D3"/>
    <w:rsid w:val="00F9089C"/>
    <w:rsid w:val="00F91884"/>
    <w:rsid w:val="00F91C9A"/>
    <w:rsid w:val="00F92B64"/>
    <w:rsid w:val="00F9300B"/>
    <w:rsid w:val="00F940FA"/>
    <w:rsid w:val="00F944B9"/>
    <w:rsid w:val="00F94E36"/>
    <w:rsid w:val="00F95670"/>
    <w:rsid w:val="00F95FCF"/>
    <w:rsid w:val="00F96877"/>
    <w:rsid w:val="00F96CCE"/>
    <w:rsid w:val="00FA1FCC"/>
    <w:rsid w:val="00FA39AF"/>
    <w:rsid w:val="00FA473B"/>
    <w:rsid w:val="00FA6508"/>
    <w:rsid w:val="00FA663D"/>
    <w:rsid w:val="00FA6E75"/>
    <w:rsid w:val="00FB0460"/>
    <w:rsid w:val="00FB2D18"/>
    <w:rsid w:val="00FB45E5"/>
    <w:rsid w:val="00FB5695"/>
    <w:rsid w:val="00FB5DFB"/>
    <w:rsid w:val="00FB72B0"/>
    <w:rsid w:val="00FC080D"/>
    <w:rsid w:val="00FC1B66"/>
    <w:rsid w:val="00FC1E7F"/>
    <w:rsid w:val="00FC3D9F"/>
    <w:rsid w:val="00FC6019"/>
    <w:rsid w:val="00FD07E9"/>
    <w:rsid w:val="00FD0A8C"/>
    <w:rsid w:val="00FD13D0"/>
    <w:rsid w:val="00FD17FA"/>
    <w:rsid w:val="00FD21D4"/>
    <w:rsid w:val="00FD794E"/>
    <w:rsid w:val="00FD7FEC"/>
    <w:rsid w:val="00FE0A1F"/>
    <w:rsid w:val="00FE0C6D"/>
    <w:rsid w:val="00FE1401"/>
    <w:rsid w:val="00FE40F4"/>
    <w:rsid w:val="00FE48B1"/>
    <w:rsid w:val="00FE493C"/>
    <w:rsid w:val="00FE55F1"/>
    <w:rsid w:val="00FE6E60"/>
    <w:rsid w:val="00FE7561"/>
    <w:rsid w:val="00FE7A3B"/>
    <w:rsid w:val="00FF008E"/>
    <w:rsid w:val="00FF0106"/>
    <w:rsid w:val="00FF2F23"/>
    <w:rsid w:val="00FF3670"/>
    <w:rsid w:val="00FF4D8F"/>
    <w:rsid w:val="00FF5825"/>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08272"/>
  <w15:chartTrackingRefBased/>
  <w15:docId w15:val="{BE6ABDCC-99C0-458D-B076-F4FA35F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cs="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R"/>
    <w:basedOn w:val="a0"/>
    <w:uiPriority w:val="99"/>
    <w:qFormat/>
    <w:rsid w:val="00774FB0"/>
    <w:rPr>
      <w:rFonts w:cs="Times New Roman"/>
      <w:sz w:val="30"/>
      <w:vertAlign w:val="superscript"/>
    </w:rPr>
  </w:style>
  <w:style w:type="paragraph" w:styleId="a6">
    <w:name w:val="List Paragraph"/>
    <w:aliases w:val="Yellow Bullet,Normal bullet 2,List Paragraph à moi,Dot pt,No Spacing1,List Paragraph Char Char Char,Indicator Text,Numbered Para 1,Welt L Char,Welt L,Bullet List,FooterText,List Paragraph1,numbered,Paragraphe de liste1,列出段落,列出段落1,lista_2"/>
    <w:basedOn w:val="a"/>
    <w:link w:val="a7"/>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774F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774FB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d">
    <w:name w:val="Текст выноски Знак"/>
    <w:basedOn w:val="a0"/>
    <w:link w:val="ac"/>
    <w:uiPriority w:val="99"/>
    <w:semiHidden/>
    <w:rsid w:val="00774FB0"/>
    <w:rPr>
      <w:rFonts w:ascii="Segoe UI" w:eastAsia="Times New Roman" w:hAnsi="Segoe UI" w:cs="Segoe UI"/>
      <w:sz w:val="18"/>
      <w:szCs w:val="18"/>
      <w:lang w:eastAsia="ru-RU"/>
    </w:rPr>
  </w:style>
  <w:style w:type="table" w:styleId="ae">
    <w:name w:val="Table Grid"/>
    <w:basedOn w:val="a1"/>
    <w:uiPriority w:val="39"/>
    <w:rsid w:val="00774FB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774FB0"/>
    <w:pPr>
      <w:widowControl w:val="0"/>
      <w:adjustRightInd w:val="0"/>
      <w:spacing w:after="0" w:line="240" w:lineRule="auto"/>
      <w:jc w:val="both"/>
      <w:textAlignment w:val="baseline"/>
    </w:pPr>
    <w:rPr>
      <w:rFonts w:ascii="Calibri" w:eastAsia="Times New Roman" w:hAnsi="Calibri" w:cs="Times New Roman"/>
      <w:sz w:val="24"/>
      <w:szCs w:val="21"/>
      <w:lang w:eastAsia="ru-RU"/>
    </w:rPr>
  </w:style>
  <w:style w:type="character" w:customStyle="1" w:styleId="af0">
    <w:name w:val="Текст Знак"/>
    <w:basedOn w:val="a0"/>
    <w:link w:val="af"/>
    <w:uiPriority w:val="99"/>
    <w:rsid w:val="00774FB0"/>
    <w:rPr>
      <w:rFonts w:ascii="Calibri" w:eastAsia="Times New Roman" w:hAnsi="Calibri" w:cs="Times New Roman"/>
      <w:sz w:val="24"/>
      <w:szCs w:val="21"/>
      <w:lang w:eastAsia="ru-RU"/>
    </w:rPr>
  </w:style>
  <w:style w:type="character" w:styleId="af1">
    <w:name w:val="Hyperlink"/>
    <w:basedOn w:val="a0"/>
    <w:uiPriority w:val="99"/>
    <w:semiHidden/>
    <w:unhideWhenUsed/>
    <w:rsid w:val="00774FB0"/>
    <w:rPr>
      <w:rFonts w:cs="Times New Roman"/>
      <w:color w:val="0000FF"/>
      <w:u w:val="single"/>
    </w:rPr>
  </w:style>
  <w:style w:type="table" w:customStyle="1" w:styleId="1">
    <w:name w:val="Сетка таблицы1"/>
    <w:basedOn w:val="a1"/>
    <w:next w:val="ae"/>
    <w:uiPriority w:val="39"/>
    <w:rsid w:val="00774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774FB0"/>
    <w:rPr>
      <w:rFonts w:cs="Times New Roman"/>
    </w:rPr>
  </w:style>
  <w:style w:type="paragraph" w:styleId="af2">
    <w:name w:val="Body Text Indent"/>
    <w:basedOn w:val="a"/>
    <w:link w:val="af3"/>
    <w:uiPriority w:val="99"/>
    <w:rsid w:val="00774FB0"/>
    <w:pPr>
      <w:widowControl w:val="0"/>
      <w:adjustRightInd w:val="0"/>
      <w:spacing w:after="120" w:line="240" w:lineRule="auto"/>
      <w:ind w:left="283"/>
      <w:jc w:val="both"/>
      <w:textAlignment w:val="baseline"/>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cs="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774FB0"/>
    <w:rPr>
      <w:rFonts w:cs="Times New Roman"/>
    </w:rPr>
  </w:style>
  <w:style w:type="table" w:customStyle="1" w:styleId="2">
    <w:name w:val="Сетка таблицы2"/>
    <w:basedOn w:val="a1"/>
    <w:uiPriority w:val="39"/>
    <w:rsid w:val="00687A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Body Text"/>
    <w:basedOn w:val="a"/>
    <w:link w:val="af5"/>
    <w:uiPriority w:val="99"/>
    <w:rsid w:val="00590946"/>
    <w:pPr>
      <w:spacing w:after="12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basedOn w:val="a0"/>
    <w:link w:val="af4"/>
    <w:uiPriority w:val="99"/>
    <w:rsid w:val="00590946"/>
    <w:rPr>
      <w:rFonts w:ascii="Times New Roman" w:eastAsia="Times New Roman" w:hAnsi="Times New Roman" w:cs="Times New Roman"/>
      <w:sz w:val="28"/>
      <w:szCs w:val="24"/>
      <w:lang w:eastAsia="ru-RU"/>
    </w:rPr>
  </w:style>
  <w:style w:type="character" w:styleId="af6">
    <w:name w:val="annotation reference"/>
    <w:basedOn w:val="a0"/>
    <w:uiPriority w:val="99"/>
    <w:semiHidden/>
    <w:unhideWhenUsed/>
    <w:rsid w:val="00F74E57"/>
    <w:rPr>
      <w:sz w:val="16"/>
      <w:szCs w:val="16"/>
    </w:rPr>
  </w:style>
  <w:style w:type="paragraph" w:styleId="af7">
    <w:name w:val="annotation text"/>
    <w:basedOn w:val="a"/>
    <w:link w:val="af8"/>
    <w:uiPriority w:val="99"/>
    <w:semiHidden/>
    <w:unhideWhenUsed/>
    <w:rsid w:val="00F74E57"/>
    <w:pPr>
      <w:spacing w:line="240" w:lineRule="auto"/>
    </w:pPr>
    <w:rPr>
      <w:sz w:val="20"/>
      <w:szCs w:val="20"/>
    </w:rPr>
  </w:style>
  <w:style w:type="character" w:customStyle="1" w:styleId="af8">
    <w:name w:val="Текст примечания Знак"/>
    <w:basedOn w:val="a0"/>
    <w:link w:val="af7"/>
    <w:uiPriority w:val="99"/>
    <w:semiHidden/>
    <w:rsid w:val="00F74E57"/>
    <w:rPr>
      <w:sz w:val="20"/>
      <w:szCs w:val="20"/>
    </w:rPr>
  </w:style>
  <w:style w:type="paragraph" w:styleId="af9">
    <w:name w:val="annotation subject"/>
    <w:basedOn w:val="af7"/>
    <w:next w:val="af7"/>
    <w:link w:val="afa"/>
    <w:uiPriority w:val="99"/>
    <w:semiHidden/>
    <w:unhideWhenUsed/>
    <w:rsid w:val="00F74E57"/>
    <w:rPr>
      <w:b/>
      <w:bCs/>
    </w:rPr>
  </w:style>
  <w:style w:type="character" w:customStyle="1" w:styleId="afa">
    <w:name w:val="Тема примечания Знак"/>
    <w:basedOn w:val="af8"/>
    <w:link w:val="af9"/>
    <w:uiPriority w:val="99"/>
    <w:semiHidden/>
    <w:rsid w:val="00F74E57"/>
    <w:rPr>
      <w:b/>
      <w:bCs/>
      <w:sz w:val="20"/>
      <w:szCs w:val="20"/>
    </w:rPr>
  </w:style>
  <w:style w:type="table" w:customStyle="1" w:styleId="3">
    <w:name w:val="Сетка таблицы3"/>
    <w:basedOn w:val="a1"/>
    <w:next w:val="ae"/>
    <w:uiPriority w:val="39"/>
    <w:rsid w:val="007D263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Yellow Bullet Знак,Normal bullet 2 Знак,List Paragraph à moi Знак,Dot pt Знак,No Spacing1 Знак,List Paragraph Char Char Char Знак,Indicator Text Знак,Numbered Para 1 Знак,Welt L Char Знак,Welt L Знак,Bullet List Знак,FooterText Знак"/>
    <w:link w:val="a6"/>
    <w:uiPriority w:val="34"/>
    <w:qFormat/>
    <w:locked/>
    <w:rsid w:val="007D26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216">
      <w:bodyDiv w:val="1"/>
      <w:marLeft w:val="0"/>
      <w:marRight w:val="0"/>
      <w:marTop w:val="0"/>
      <w:marBottom w:val="0"/>
      <w:divBdr>
        <w:top w:val="none" w:sz="0" w:space="0" w:color="auto"/>
        <w:left w:val="none" w:sz="0" w:space="0" w:color="auto"/>
        <w:bottom w:val="none" w:sz="0" w:space="0" w:color="auto"/>
        <w:right w:val="none" w:sz="0" w:space="0" w:color="auto"/>
      </w:divBdr>
      <w:divsChild>
        <w:div w:id="68164670">
          <w:marLeft w:val="0"/>
          <w:marRight w:val="0"/>
          <w:marTop w:val="0"/>
          <w:marBottom w:val="0"/>
          <w:divBdr>
            <w:top w:val="none" w:sz="0" w:space="0" w:color="auto"/>
            <w:left w:val="none" w:sz="0" w:space="0" w:color="auto"/>
            <w:bottom w:val="none" w:sz="0" w:space="0" w:color="auto"/>
            <w:right w:val="none" w:sz="0" w:space="0" w:color="auto"/>
          </w:divBdr>
        </w:div>
      </w:divsChild>
    </w:div>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580455547">
      <w:bodyDiv w:val="1"/>
      <w:marLeft w:val="0"/>
      <w:marRight w:val="0"/>
      <w:marTop w:val="0"/>
      <w:marBottom w:val="0"/>
      <w:divBdr>
        <w:top w:val="none" w:sz="0" w:space="0" w:color="auto"/>
        <w:left w:val="none" w:sz="0" w:space="0" w:color="auto"/>
        <w:bottom w:val="none" w:sz="0" w:space="0" w:color="auto"/>
        <w:right w:val="none" w:sz="0" w:space="0" w:color="auto"/>
      </w:divBdr>
    </w:div>
    <w:div w:id="635454694">
      <w:bodyDiv w:val="1"/>
      <w:marLeft w:val="0"/>
      <w:marRight w:val="0"/>
      <w:marTop w:val="0"/>
      <w:marBottom w:val="0"/>
      <w:divBdr>
        <w:top w:val="none" w:sz="0" w:space="0" w:color="auto"/>
        <w:left w:val="none" w:sz="0" w:space="0" w:color="auto"/>
        <w:bottom w:val="none" w:sz="0" w:space="0" w:color="auto"/>
        <w:right w:val="none" w:sz="0" w:space="0" w:color="auto"/>
      </w:divBdr>
      <w:divsChild>
        <w:div w:id="394165037">
          <w:marLeft w:val="0"/>
          <w:marRight w:val="0"/>
          <w:marTop w:val="0"/>
          <w:marBottom w:val="0"/>
          <w:divBdr>
            <w:top w:val="none" w:sz="0" w:space="0" w:color="auto"/>
            <w:left w:val="none" w:sz="0" w:space="0" w:color="auto"/>
            <w:bottom w:val="none" w:sz="0" w:space="0" w:color="auto"/>
            <w:right w:val="none" w:sz="0" w:space="0" w:color="auto"/>
          </w:divBdr>
        </w:div>
      </w:divsChild>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53799355">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6272241">
      <w:bodyDiv w:val="1"/>
      <w:marLeft w:val="0"/>
      <w:marRight w:val="0"/>
      <w:marTop w:val="0"/>
      <w:marBottom w:val="0"/>
      <w:divBdr>
        <w:top w:val="none" w:sz="0" w:space="0" w:color="auto"/>
        <w:left w:val="none" w:sz="0" w:space="0" w:color="auto"/>
        <w:bottom w:val="none" w:sz="0" w:space="0" w:color="auto"/>
        <w:right w:val="none" w:sz="0" w:space="0" w:color="auto"/>
      </w:divBdr>
      <w:divsChild>
        <w:div w:id="985160960">
          <w:marLeft w:val="0"/>
          <w:marRight w:val="0"/>
          <w:marTop w:val="0"/>
          <w:marBottom w:val="0"/>
          <w:divBdr>
            <w:top w:val="none" w:sz="0" w:space="0" w:color="auto"/>
            <w:left w:val="none" w:sz="0" w:space="0" w:color="auto"/>
            <w:bottom w:val="none" w:sz="0" w:space="0" w:color="auto"/>
            <w:right w:val="none" w:sz="0" w:space="0" w:color="auto"/>
          </w:divBdr>
        </w:div>
      </w:divsChild>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44646989">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129276421">
      <w:bodyDiv w:val="1"/>
      <w:marLeft w:val="0"/>
      <w:marRight w:val="0"/>
      <w:marTop w:val="0"/>
      <w:marBottom w:val="0"/>
      <w:divBdr>
        <w:top w:val="none" w:sz="0" w:space="0" w:color="auto"/>
        <w:left w:val="none" w:sz="0" w:space="0" w:color="auto"/>
        <w:bottom w:val="none" w:sz="0" w:space="0" w:color="auto"/>
        <w:right w:val="none" w:sz="0" w:space="0" w:color="auto"/>
      </w:divBdr>
      <w:divsChild>
        <w:div w:id="144916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DC1B-642F-4FE5-8C41-3D1FC617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3886</Characters>
  <Application>Microsoft Office Word</Application>
  <DocSecurity>4</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2025-11-24T07:51:00Z</cp:lastPrinted>
  <dcterms:created xsi:type="dcterms:W3CDTF">2025-12-04T10:38:00Z</dcterms:created>
  <dcterms:modified xsi:type="dcterms:W3CDTF">2025-12-04T10:38:00Z</dcterms:modified>
</cp:coreProperties>
</file>