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97D5E" w14:textId="67B76BE2" w:rsidR="006E3F93" w:rsidRPr="00D27880" w:rsidRDefault="006E3F93" w:rsidP="006E3F93">
      <w:pPr>
        <w:jc w:val="right"/>
        <w:rPr>
          <w:rFonts w:ascii="Times New Roman" w:eastAsia="Times New Roman" w:hAnsi="Times New Roman" w:cs="Times New Roman"/>
          <w:kern w:val="0"/>
          <w:sz w:val="28"/>
          <w:szCs w:val="28"/>
          <w:lang w:eastAsia="ru-RU"/>
          <w14:ligatures w14:val="none"/>
        </w:rPr>
      </w:pPr>
      <w:bookmarkStart w:id="0" w:name="_GoBack"/>
      <w:r w:rsidRPr="00D27880">
        <w:rPr>
          <w:rFonts w:ascii="Times New Roman" w:hAnsi="Times New Roman" w:cs="Times New Roman"/>
          <w:sz w:val="28"/>
          <w:szCs w:val="28"/>
        </w:rPr>
        <w:t>Приложение 6</w:t>
      </w:r>
    </w:p>
    <w:bookmarkEnd w:id="0"/>
    <w:p w14:paraId="783A5440" w14:textId="05D08420" w:rsidR="00342009" w:rsidRPr="00342009" w:rsidRDefault="00342009" w:rsidP="00342009">
      <w:pPr>
        <w:spacing w:after="0" w:line="280" w:lineRule="exact"/>
        <w:jc w:val="center"/>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УСЛОВИЯ ДОГОВОРА СРОЧНОГО БЕЗОТЗЫВНОГО БАНКОВСКОГО ВКЛАДА (ДЕПОЗИТА) «ДОХОДНЫЙ ПЛЮС»</w:t>
      </w:r>
    </w:p>
    <w:p w14:paraId="70BF1A07" w14:textId="77777777" w:rsidR="00342009" w:rsidRPr="00342009" w:rsidRDefault="00342009" w:rsidP="00342009">
      <w:pPr>
        <w:spacing w:after="0" w:line="280" w:lineRule="exact"/>
        <w:jc w:val="both"/>
        <w:rPr>
          <w:rFonts w:ascii="Times New Roman" w:eastAsia="Times New Roman" w:hAnsi="Times New Roman" w:cs="Times New Roman"/>
          <w:kern w:val="0"/>
          <w:lang w:eastAsia="ru-RU"/>
          <w14:ligatures w14:val="none"/>
        </w:rPr>
      </w:pPr>
    </w:p>
    <w:p w14:paraId="6E566544"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Настоящие условия договора срочного безотзывного банковского вклада (депозита) «Доходный плюс» (далее - Условия) являются неотъемлемой частью договора срочного безотзывного банковского вклада (депозита) «Доходный плюс» (далее - Договор), заключаемого между ОАО «Белагропромбанк» (далее - Вкладополучатель) и физическим лицом (далее - Вкладчик), и определяют обязательные для сторон Договора права, обязанности и иные условия.</w:t>
      </w:r>
    </w:p>
    <w:p w14:paraId="0377E31C"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Договор состоит из двух частей: настоящих Условий, опубликованных на официальном сайте Вкладополучателя в глобальной компьютерной сети Интернет (www.belapb.by) и размещённых на информационных стендах Вкладополучателя, и части, представляющей собой текстовый документ, подписанный сторонами Договора собственноручно и содержащий сведения о сумме первоначального взноса во вклад (депозит), валюте вклада (депозита), размере процентов по вкладу (депозиту) и порядке их начисления и выплаты, в том числе при досрочном возврате вклада (депозита), сроке и порядке возврата вклада (депозита) и иные существенные условия, предусмотренные законодательством.</w:t>
      </w:r>
    </w:p>
    <w:p w14:paraId="295050F6"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1. Общие условия по вкладу (депозиту).</w:t>
      </w:r>
    </w:p>
    <w:p w14:paraId="093EB228"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Размер минимальной суммы первоначального взноса во вклад (депозит) составляет 50 (пятьдесят) белорусских рублей.</w:t>
      </w:r>
    </w:p>
    <w:p w14:paraId="45455244"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2. Права и обязанности Сторон:</w:t>
      </w:r>
    </w:p>
    <w:p w14:paraId="0F71DB37"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2.1. Вкладополучатель обязуется:</w:t>
      </w:r>
    </w:p>
    <w:p w14:paraId="1DF37EA9"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2.1.1. хранить банковскую тайну вклада (депозита) в порядке, предусмотренном законодательными актами;</w:t>
      </w:r>
    </w:p>
    <w:p w14:paraId="214EDD48"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2.1.2. предоставить по требованию Вкладчика не позднее 5 (пяти) календарных дней со дня его обращения в подразделение Вкладополучателя документ, подтверждающий факт заключения Договора, содержащий сведения о его существенных условиях, а также иные сведения, касающиеся обслуживания вклада (депозита) (сведения об изменении процентов, о размере начисленных процентов, об увеличении суммы вклада (депозита) и т.п.).</w:t>
      </w:r>
    </w:p>
    <w:p w14:paraId="698BDC5C"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2.2. Вкладчик обязуется в срок до 10 (Десяти) календарных дней со дня изменения информировать Вкладополучателя обо всех изменениях данных документа, удостоверяющего его личность, и адреса (а также об изменении фамилии, имени, отчества, данных документа, удостоверяющего личность физического лица, на имя которого вносится вклад (депозит), - для Договора, заключенного на имя другого лица).</w:t>
      </w:r>
    </w:p>
    <w:p w14:paraId="3591A105"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2.3. Вкладополучатель имеет право:</w:t>
      </w:r>
    </w:p>
    <w:p w14:paraId="2EDB105D"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 xml:space="preserve">2.3.1. в одностороннем порядке </w:t>
      </w:r>
      <w:r w:rsidRPr="00342009">
        <w:rPr>
          <w:rFonts w:ascii="Times New Roman" w:eastAsia="Times New Roman" w:hAnsi="Times New Roman" w:cs="Times New Roman"/>
          <w:color w:val="000000"/>
          <w:kern w:val="0"/>
          <w:lang w:eastAsia="ru-RU"/>
          <w14:ligatures w14:val="none"/>
        </w:rPr>
        <w:t>изменять номер счета по учету вклада (депозита)</w:t>
      </w:r>
      <w:r w:rsidRPr="00342009">
        <w:rPr>
          <w:rFonts w:ascii="Times New Roman" w:eastAsia="Times New Roman" w:hAnsi="Times New Roman" w:cs="Times New Roman"/>
          <w:kern w:val="0"/>
          <w:lang w:eastAsia="ru-RU"/>
          <w14:ligatures w14:val="none"/>
        </w:rPr>
        <w:t xml:space="preserve"> без изменения номера Договора вследствие изменения законодательства, правил ведения бухгалтерского учета, реорганизации (изменения организационной структуры) Вкладополучателя, изменения программного обеспечения, используемого для проведения операций, без предварительного уведомления Вкладчика и заключения дополнительного соглашения к Договору;</w:t>
      </w:r>
    </w:p>
    <w:p w14:paraId="250F8792"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2.3.2. списывать платежным ордером, если иное не предусмотрено законодательством, со счета по учету вклада (депозита) Вкладчика денежные средства, зачисленные на него в результате технической ошибки.</w:t>
      </w:r>
    </w:p>
    <w:p w14:paraId="5FD09FF6"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2.3.3.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Вкладополучателя в глобальной компьютерной сети Интернет (</w:t>
      </w:r>
      <w:hyperlink r:id="rId4" w:history="1">
        <w:r w:rsidRPr="00342009">
          <w:rPr>
            <w:rFonts w:ascii="Times New Roman" w:eastAsia="Times New Roman" w:hAnsi="Times New Roman" w:cs="Times New Roman"/>
            <w:color w:val="0000FF"/>
            <w:kern w:val="0"/>
            <w:u w:val="single"/>
            <w:lang w:eastAsia="ru-RU"/>
            <w14:ligatures w14:val="none"/>
          </w:rPr>
          <w:t>www.belapb.by</w:t>
        </w:r>
      </w:hyperlink>
      <w:r w:rsidRPr="00342009">
        <w:rPr>
          <w:rFonts w:ascii="Times New Roman" w:eastAsia="Times New Roman" w:hAnsi="Times New Roman" w:cs="Times New Roman"/>
          <w:kern w:val="0"/>
          <w:lang w:eastAsia="ru-RU"/>
          <w14:ligatures w14:val="none"/>
        </w:rPr>
        <w:t>);</w:t>
      </w:r>
    </w:p>
    <w:p w14:paraId="61959BD9"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lastRenderedPageBreak/>
        <w:t>2.3.4. в период срока действия Договора осуществлять анализ движения денежных средств по счету по учету вклада (депозита), среднедневных остатков на счете по учету вклада (депозита), среднемесячного объема безналичных операций и другой информации на предмет соответствия критериям отнесения к сегменту «Премиальный»;</w:t>
      </w:r>
    </w:p>
    <w:p w14:paraId="4388BADC"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2.3.5. предложить Вкладчику улучшить условия обслуживания путем включения его в сегмент «Премиальный» в рамках заключаемого Договора при соответствии Вкладчика критериям, определенным Вкладополучателем, используя при этом любые средства связи, включая телефонные звонки работников Вкладополучателя, SMS-сообщения на номер мобильного телефона и сообщения на адрес электронной почты, предоставленные Вкладополучателю.</w:t>
      </w:r>
    </w:p>
    <w:p w14:paraId="6F755A64"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2.4. Вкладчик имеет право:</w:t>
      </w:r>
    </w:p>
    <w:p w14:paraId="0419B1AE"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2.4.1. до наступления срока возврата вклада (депозита) истребовать часть вклада (депозита) в размере, не превышающем сумму капитализированных (ранее начисленных и причисленных к сумме вклада (депозита)) процентов по вкладу (депозиту);</w:t>
      </w:r>
    </w:p>
    <w:p w14:paraId="68C223B8"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2.4.2. пополнять вклад (депозит) путем внесения дополнительных взносов во вклад (депозит) в валюте вклада (депозита) наличными денежными средствами или в безналичной форме в соответствии с законодательством, если Вкладополучателем не приостановлен (не прекращен) прием дополнительных взносов.</w:t>
      </w:r>
    </w:p>
    <w:p w14:paraId="7AE13CEE"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Пополнение вклада (депозита) допускается в дату заключения Договора и следующие за ней 334 календарных дня;</w:t>
      </w:r>
    </w:p>
    <w:p w14:paraId="2DEB76AA"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 xml:space="preserve">2.4.3. </w:t>
      </w:r>
      <w:r w:rsidRPr="00342009">
        <w:rPr>
          <w:rFonts w:ascii="Times New Roman" w:eastAsia="Times New Roman" w:hAnsi="Times New Roman" w:cs="Times New Roman"/>
          <w:lang w:eastAsia="ru-RU"/>
          <w14:ligatures w14:val="none"/>
        </w:rPr>
        <w:t xml:space="preserve">совершать по вкладу (депозиту) расходные операции в безналичной форме и приходные операции наличными и в безналичной форме, причем сумма одной расходной или приходной операции по вкладу (депозиту) не может быть менее </w:t>
      </w:r>
      <w:r w:rsidRPr="00342009">
        <w:rPr>
          <w:rFonts w:ascii="Times New Roman" w:eastAsia="Times New Roman" w:hAnsi="Times New Roman" w:cs="Times New Roman"/>
          <w:kern w:val="0"/>
          <w:lang w:eastAsia="ru-RU"/>
          <w14:ligatures w14:val="none"/>
        </w:rPr>
        <w:t>1 (одного) белорусского рубля;</w:t>
      </w:r>
    </w:p>
    <w:p w14:paraId="3D342981"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2.4.4. выдавать доверенности на получение представителем выплат, а также на распоряжение денежными средствами, размещенными во вклад (депозит), и оформлять завещательные распоряжения правами на денежные средства, внесенные во вклад (депозит), в соответствии с законодательством. Доверенности на получение представителем выплат, а также на распоряжение денежными средствами, размещенными во вклад (депозит), и завещательные распоряжения правами на денежные средства, внесенные во вклад (депозит), могут быть удостоверены непосредственно в подразделении Вкладополучателя, в котором заключен Договор, если иное не установлено Вкладополучателем и (или) законодательством;</w:t>
      </w:r>
    </w:p>
    <w:p w14:paraId="15291A39"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2.4.5. получать выписки из счета по учету вклада (депозита);</w:t>
      </w:r>
    </w:p>
    <w:p w14:paraId="64DFC6CF"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2.4.6. потребовать, документ, подтверждающий факт заключения Договора, содержащий сведения о его существенных условиях, а также иные сведения, касающиеся обслуживания его вклада (депозита) (сведения об изменении процентов, о размере начисленных процентов, об увеличении суммы вклада (депозита) и т.п.);</w:t>
      </w:r>
    </w:p>
    <w:p w14:paraId="77DAE5B0"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2.4.7. изменить текущий (расчетный) банковский счет, предназначенный для возврата вклада (депозита) и указанный Вкладчиком в Договоре (далее – Текущий счет) путем подачи соответствующего заявления на возврат суммы вклада (депозита) на текущий (расчетный) банковский счет, в том числе на текущий (расчетный) банковский счет, доступ к которому обеспечивается посредством использования банковской платежной карточки (далее – Текущий счет с БПК), в соответствующей валюте в подразделение Вкладополучателя не позднее дня, предшествующего дате возврата вклада (депозита), либо заявления на возврат вклада (депозита) на Текущий счет с БПК в соответствующей валюте самостоятельно в системе дистанционного банковского обслуживания Вкладополучателя не позднее 3 рабочих дней, предшествующих дате возврата вклада (депозита).</w:t>
      </w:r>
    </w:p>
    <w:p w14:paraId="23AA7FC2"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3. Иные условия:</w:t>
      </w:r>
    </w:p>
    <w:p w14:paraId="5EF401D4"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3.1. Продление срока хранения вклада (депозита) на новый срок (аналогичный первоначальному сроку хранения) не предусмотрено.</w:t>
      </w:r>
    </w:p>
    <w:p w14:paraId="51F6FF60"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lastRenderedPageBreak/>
        <w:t>3.2. В соответствии с Договором по истечении срока хранения вклада (депозита) Вкладополучатель платежным ордером, если иное не предусмотрено законодательством, перечисляет сумму вклада (депозита) с учетом начисленных процентов на указанный в Договоре Текущий счет либо Текущий счет с БПК Вкладчика, открытый у Вкладополучателя.</w:t>
      </w:r>
    </w:p>
    <w:p w14:paraId="0BAFEC28"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Со дня указанного перечисления сумма денежных средств хранится на условиях договора, согласно которому был открыт Текущий счет либо Текущий счет с БПК Вкладчика, на который в соответствии с настоящим договором должен осуществляться возврата вклада (депозита), опубликованных на официальном сайте Вкладополучателя в глобальной компьютерной сети Интернет по адресу: www.belapb.by.</w:t>
      </w:r>
    </w:p>
    <w:p w14:paraId="77036BAE"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3.3. Совершение расходных операций Вкладчиком по вкладу (депозиту) производится в соответствии с Договором при предъявлении документа, удостоверяющего личность в соответствии с законодательством. Совершение расходных операций по вкладу (депозиту) представителем Вкладчика производится при предъявлении им надлежаще оформленной доверенности и документа, удостоверяющего личность в соответствии с законодательством, непосредственно в подразделении Вкладополучателя, в котором заключен Договор, если иное не установлено Вкладополучателем.</w:t>
      </w:r>
    </w:p>
    <w:p w14:paraId="5946F868"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Совершение расходных операций по вкладу (депозиту) производится в безналичной форме наследником, указанным в завещательном распоряжении, непосредственно в подразделении Вкладополучателя, в котором заключен Договор. Совершение расходных операций по вкладу (депозиту) производится в безналичной форме наследником по закону или завещанию в любом подразделении Вкладополучателя.</w:t>
      </w:r>
    </w:p>
    <w:p w14:paraId="12B493E9"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3.4. Вклад (депозит) может быть возвращен до наступления срока возврата вклада (депозита) только с согласия Вкладополучателя.</w:t>
      </w:r>
    </w:p>
    <w:p w14:paraId="349B1B3A"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Условия Договора могут быть изменены по соглашению Вкладчика и Вкладополучателя, а также по требованию Вкладчика или Вкладополучателя в случае вступления в силу нормативных правовых актов, изменяющих порядок регулирования данных правоотношений и имеющих обратную силу. Все изменения и дополнения, за исключением случаев, предусмотренных настоящим Договором, оформляются в письменном виде и подписываются Вкладчиком и Вкладополучателем.</w:t>
      </w:r>
    </w:p>
    <w:p w14:paraId="3D7041C8"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3.5. Применение положений международных договоров Республики Беларусь по вопросам налогообложения по доходам Вкладчика - нерезидента Республики Беларусь в виде процентов по Договору осуществляется после представления Вкладчиком - нерезидентом Республики Беларусь в подразделение Вкладополучателя, в котором открыт счет по учету вклада (депозита) по Договору, подтверждения того, что Вкладчик - нерезидент Республики Беларусь является резидентом иностранного государства, с которым имеется международный договор Республики Беларусь по вопросам налогообложения, выданного (заверенного) налоговым или иным компетентным органом иностранного государства, но не позднее, чем за 30 календарных дней до полного возврата Вкладополучателем Вкладчику суммы вклада (депозита) и начисленных процентов по вкладу (депозиту) (закрытия счета по учету вклада (депозита)).</w:t>
      </w:r>
    </w:p>
    <w:p w14:paraId="16987AF6"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Излишне удержанный и уплаченный в бюджет подоходный налог с физических лиц, исчисленный в порядке, определенном законодательством, с процентов по Договору, выплачивается Вкладополучателем Вкладчику в порядке, установленным Вкладополучателем.</w:t>
      </w:r>
    </w:p>
    <w:p w14:paraId="72B1F905"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3.6. Рабочий/нерабочий день определяется в соответствии с режимом работы, утвержденным в подразделении Вкладополучателя, заключившем Договор, информация о котором размещена на информационных стендах такого подразделения и официальном сайте Вкладополучателя в сети Интернет.</w:t>
      </w:r>
    </w:p>
    <w:p w14:paraId="30AB23DD"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 xml:space="preserve">3.7. Вкладополучатель имеет право устанавливать поощрение в виде дополнительного дохода (в том числе в виде процента, выплачиваемого Вкладополучателем в день наступления срока возврата вклада (депозита)) или иные виды </w:t>
      </w:r>
      <w:r w:rsidRPr="00342009">
        <w:rPr>
          <w:rFonts w:ascii="Times New Roman" w:eastAsia="Times New Roman" w:hAnsi="Times New Roman" w:cs="Times New Roman"/>
          <w:kern w:val="0"/>
          <w:lang w:eastAsia="ru-RU"/>
          <w14:ligatures w14:val="none"/>
        </w:rPr>
        <w:lastRenderedPageBreak/>
        <w:t>поощрений в рамках Программ лояльности (включая программу лояльности «Сябры»), а также при участии Вкладчика в акциях, предусматривающих обязательную выплату дополнительного процентного дохода. Банк имеет право предоставлять Клиенту дополнительные сервисы и услуги по отдельным видам вкладов (депозитов).</w:t>
      </w:r>
    </w:p>
    <w:p w14:paraId="308B9041"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3.8. Возврат вклада (депозита) и (или) выплата процентов по вкладу (депозиту) осуществляется Вкладополучателем при отсутствии на момент возврата вклада (депозита) и (или) выплаты процентов по вкладу (депозиту) в автоматизированной информационной системе исполнения денежных обязательств (далее – АИС ИДО) информации о неисполненных денежных обязательствах Вкладчика.</w:t>
      </w:r>
    </w:p>
    <w:p w14:paraId="7529E594"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При получении Вкладополучателем информации посредством АИС ИДО о неисполненных денежных обязательствах Вкладчика Вкладополучатель обеспечивает направление денежных средств со вклада (депозита) на исполнение неисполненного денежного обязательства Вкладчика в порядке, определенном законодательством.</w:t>
      </w:r>
    </w:p>
    <w:p w14:paraId="6359420B"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3.9. Вкладополучатель имеет право самостоятельно (без поручения или распоряжения Вкладчика, без письменного согласия Вкладчика и без предупреждения Вкладчика) ограничить проведение расходных операций, отказать в совершении операции в случаях, предусмотренных законодательством и локальными правовыми актами Вкладополучателя.</w:t>
      </w:r>
    </w:p>
    <w:p w14:paraId="724793C2" w14:textId="77777777" w:rsidR="00342009" w:rsidRPr="00342009" w:rsidRDefault="00342009" w:rsidP="00342009">
      <w:pPr>
        <w:spacing w:after="0" w:line="240" w:lineRule="auto"/>
        <w:ind w:firstLine="709"/>
        <w:jc w:val="both"/>
        <w:rPr>
          <w:rFonts w:ascii="Times New Roman" w:eastAsia="Times New Roman" w:hAnsi="Times New Roman" w:cs="Times New Roman"/>
          <w:kern w:val="0"/>
          <w:lang w:eastAsia="ru-RU"/>
          <w14:ligatures w14:val="none"/>
        </w:rPr>
      </w:pPr>
      <w:r w:rsidRPr="00342009">
        <w:rPr>
          <w:rFonts w:ascii="Times New Roman" w:eastAsia="Times New Roman" w:hAnsi="Times New Roman" w:cs="Times New Roman"/>
          <w:kern w:val="0"/>
          <w:lang w:eastAsia="ru-RU"/>
          <w14:ligatures w14:val="none"/>
        </w:rPr>
        <w:t>3.10. Вкладополучатель осуществляет банковские операции по привлечению денежных средств физических лиц во вклады (депозиты) на основании лицензии на осуществление банковской деятельности № __ от __.__.____​, выданной Национальным банком.</w:t>
      </w:r>
    </w:p>
    <w:sectPr w:rsidR="00342009" w:rsidRPr="003420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3C"/>
    <w:rsid w:val="000A409B"/>
    <w:rsid w:val="0026093C"/>
    <w:rsid w:val="00342009"/>
    <w:rsid w:val="006E3F93"/>
    <w:rsid w:val="00D27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A5ED"/>
  <w15:chartTrackingRefBased/>
  <w15:docId w15:val="{837E5100-3618-461D-8E1A-F5961FD7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60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60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6093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6093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6093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6093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6093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6093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6093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093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6093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6093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6093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6093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6093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6093C"/>
    <w:rPr>
      <w:rFonts w:eastAsiaTheme="majorEastAsia" w:cstheme="majorBidi"/>
      <w:color w:val="595959" w:themeColor="text1" w:themeTint="A6"/>
    </w:rPr>
  </w:style>
  <w:style w:type="character" w:customStyle="1" w:styleId="80">
    <w:name w:val="Заголовок 8 Знак"/>
    <w:basedOn w:val="a0"/>
    <w:link w:val="8"/>
    <w:uiPriority w:val="9"/>
    <w:semiHidden/>
    <w:rsid w:val="0026093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6093C"/>
    <w:rPr>
      <w:rFonts w:eastAsiaTheme="majorEastAsia" w:cstheme="majorBidi"/>
      <w:color w:val="272727" w:themeColor="text1" w:themeTint="D8"/>
    </w:rPr>
  </w:style>
  <w:style w:type="paragraph" w:styleId="a3">
    <w:name w:val="Title"/>
    <w:basedOn w:val="a"/>
    <w:next w:val="a"/>
    <w:link w:val="a4"/>
    <w:uiPriority w:val="10"/>
    <w:qFormat/>
    <w:rsid w:val="00260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609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93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6093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6093C"/>
    <w:pPr>
      <w:spacing w:before="160"/>
      <w:jc w:val="center"/>
    </w:pPr>
    <w:rPr>
      <w:i/>
      <w:iCs/>
      <w:color w:val="404040" w:themeColor="text1" w:themeTint="BF"/>
    </w:rPr>
  </w:style>
  <w:style w:type="character" w:customStyle="1" w:styleId="22">
    <w:name w:val="Цитата 2 Знак"/>
    <w:basedOn w:val="a0"/>
    <w:link w:val="21"/>
    <w:uiPriority w:val="29"/>
    <w:rsid w:val="0026093C"/>
    <w:rPr>
      <w:i/>
      <w:iCs/>
      <w:color w:val="404040" w:themeColor="text1" w:themeTint="BF"/>
    </w:rPr>
  </w:style>
  <w:style w:type="paragraph" w:styleId="a7">
    <w:name w:val="List Paragraph"/>
    <w:basedOn w:val="a"/>
    <w:uiPriority w:val="34"/>
    <w:qFormat/>
    <w:rsid w:val="0026093C"/>
    <w:pPr>
      <w:ind w:left="720"/>
      <w:contextualSpacing/>
    </w:pPr>
  </w:style>
  <w:style w:type="character" w:styleId="a8">
    <w:name w:val="Intense Emphasis"/>
    <w:basedOn w:val="a0"/>
    <w:uiPriority w:val="21"/>
    <w:qFormat/>
    <w:rsid w:val="0026093C"/>
    <w:rPr>
      <w:i/>
      <w:iCs/>
      <w:color w:val="0F4761" w:themeColor="accent1" w:themeShade="BF"/>
    </w:rPr>
  </w:style>
  <w:style w:type="paragraph" w:styleId="a9">
    <w:name w:val="Intense Quote"/>
    <w:basedOn w:val="a"/>
    <w:next w:val="a"/>
    <w:link w:val="aa"/>
    <w:uiPriority w:val="30"/>
    <w:qFormat/>
    <w:rsid w:val="00260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6093C"/>
    <w:rPr>
      <w:i/>
      <w:iCs/>
      <w:color w:val="0F4761" w:themeColor="accent1" w:themeShade="BF"/>
    </w:rPr>
  </w:style>
  <w:style w:type="character" w:styleId="ab">
    <w:name w:val="Intense Reference"/>
    <w:basedOn w:val="a0"/>
    <w:uiPriority w:val="32"/>
    <w:qFormat/>
    <w:rsid w:val="002609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2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elapb.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1820</Words>
  <Characters>10378</Characters>
  <Application>Microsoft Office Word</Application>
  <DocSecurity>0</DocSecurity>
  <Lines>86</Lines>
  <Paragraphs>24</Paragraphs>
  <ScaleCrop>false</ScaleCrop>
  <Company/>
  <LinksUpToDate>false</LinksUpToDate>
  <CharactersWithSpaces>12174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Лисова Е.М.</dc:creator>
  <cp:keywords/>
  <dc:description/>
  <cp:lastModifiedBy>Шевчук А.Л.</cp:lastModifiedBy>
  <cp:revision>6</cp:revision>
  <dcterms:created xsi:type="dcterms:W3CDTF">2024-09-26T12:58:00Z</dcterms:created>
  <dcterms:modified xsi:type="dcterms:W3CDTF">2024-09-27T07:11:00Z</dcterms:modified>
</cp:coreProperties>
</file>