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E9A6" w14:textId="77777777" w:rsid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 xml:space="preserve">ПУБЛИЧНАЯ ОФЕРТА (ПРЕДЛОЖЕНИЕ) НА ЗАКЛЮЧЕНИЕ ДОГОВОРА СРОЧНОГО </w:t>
      </w:r>
    </w:p>
    <w:p w14:paraId="4B627102" w14:textId="7F860EAC" w:rsidR="00B155BF" w:rsidRP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Б</w:t>
      </w:r>
      <w:r>
        <w:rPr>
          <w:rFonts w:ascii="Times New Roman" w:eastAsia="Times New Roman" w:hAnsi="Times New Roman" w:cs="Times New Roman"/>
          <w:bCs/>
          <w:color w:val="000000"/>
          <w:kern w:val="0"/>
          <w:sz w:val="24"/>
          <w:szCs w:val="24"/>
          <w:lang w:eastAsia="ru-RU"/>
          <w14:ligatures w14:val="none"/>
        </w:rPr>
        <w:t>Е</w:t>
      </w:r>
      <w:r w:rsidRPr="00B155BF">
        <w:rPr>
          <w:rFonts w:ascii="Times New Roman" w:eastAsia="Times New Roman" w:hAnsi="Times New Roman" w:cs="Times New Roman"/>
          <w:bCs/>
          <w:color w:val="000000"/>
          <w:kern w:val="0"/>
          <w:sz w:val="24"/>
          <w:szCs w:val="24"/>
          <w:lang w:eastAsia="ru-RU"/>
          <w14:ligatures w14:val="none"/>
        </w:rPr>
        <w:t>ЗОТЗЫВНОГО БАНКОВСКОГО ВКЛАДА (ДЕПОЗИТА) «ПЛЮС VIP»</w:t>
      </w:r>
    </w:p>
    <w:p w14:paraId="1A962675" w14:textId="77777777" w:rsidR="00B155BF" w:rsidRPr="00B155BF" w:rsidRDefault="00B155BF" w:rsidP="00B155BF">
      <w:pPr>
        <w:autoSpaceDE w:val="0"/>
        <w:autoSpaceDN w:val="0"/>
        <w:adjustRightInd w:val="0"/>
        <w:spacing w:after="0" w:line="240" w:lineRule="auto"/>
        <w:ind w:firstLine="709"/>
        <w:jc w:val="center"/>
        <w:rPr>
          <w:rFonts w:ascii="Times New Roman" w:eastAsia="Times New Roman" w:hAnsi="Times New Roman" w:cs="Times New Roman"/>
          <w:color w:val="000000"/>
          <w:kern w:val="0"/>
          <w:sz w:val="24"/>
          <w:szCs w:val="24"/>
          <w:lang w:eastAsia="ru-RU"/>
          <w14:ligatures w14:val="none"/>
        </w:rPr>
      </w:pPr>
    </w:p>
    <w:p w14:paraId="0D4E09F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lang w:eastAsia="ru-RU"/>
          <w14:ligatures w14:val="none"/>
        </w:rPr>
      </w:pPr>
      <w:r w:rsidRPr="00B155BF">
        <w:rPr>
          <w:rFonts w:ascii="Times New Roman" w:eastAsia="Times New Roman" w:hAnsi="Times New Roman" w:cs="Times New Roman"/>
          <w:color w:val="242424"/>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B155BF">
        <w:rPr>
          <w:rFonts w:ascii="Times New Roman" w:eastAsia="Times New Roman" w:hAnsi="Times New Roman" w:cs="Times New Roman"/>
          <w:color w:val="242424"/>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242424"/>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VIP» (далее - Договор) с любым физическим лицом, в дальнейшем именуемым «Вкладчик», являющимся пользователем:</w:t>
      </w:r>
    </w:p>
    <w:p w14:paraId="05E1B3D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отзывный</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вклад), либо владельцем текущего (расчетного) банковского счета физического лица,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3EBDB1F3"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 самообслуживания (банкомат, инфокиоск) и одновременно владельцем текущего счета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w:t>
      </w:r>
      <w:r w:rsidRPr="00B155BF">
        <w:rPr>
          <w:rFonts w:ascii="Times New Roman" w:eastAsia="Times New Roman" w:hAnsi="Times New Roman" w:cs="Times New Roman"/>
          <w:kern w:val="0"/>
          <w:sz w:val="24"/>
          <w:szCs w:val="24"/>
          <w:bdr w:val="none" w:sz="0" w:space="0" w:color="auto" w:frame="1"/>
          <w:lang w:eastAsia="ru-RU"/>
          <w14:ligatures w14:val="none"/>
        </w:rPr>
        <w:t>владеющим одним из счетов для возврата вклада (депозита) в соответствии с п. 1.6 настоящей оферты.</w:t>
      </w:r>
    </w:p>
    <w:p w14:paraId="0E60858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27EE71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при заключении Договора, путем перечисления посредством использования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денежных средств на счет по учету вклада (депозита), открываемый в рамках настоящего Договора (далее - счет по учету вклада (депозита) «Плюс VIP»).</w:t>
      </w:r>
    </w:p>
    <w:p w14:paraId="01898661"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настоящей публичной оферты.</w:t>
      </w:r>
    </w:p>
    <w:p w14:paraId="13F4F1C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сети Интернет по адресу: www.belapb.by.</w:t>
      </w:r>
    </w:p>
    <w:p w14:paraId="36EB73F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«Плюс VIP» должна совпадать с валютой счета, с которого осуществляется перечисление суммы первоначального взноса во вклад (депозит) «Плюс VIP». Договор считается заключенным между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акцепта публичной оферты.</w:t>
      </w:r>
    </w:p>
    <w:p w14:paraId="01CDDEC9"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1. ПРЕДМЕТ ДОГОВОРА</w:t>
      </w:r>
    </w:p>
    <w:p w14:paraId="51E8786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lastRenderedPageBreak/>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со своего текущего счета с БПК (с использованием реквизитов БПК) перечисляет денежные средства на счет по учету вклада (депозита) «Плюс VIP», 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5E6091F0"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1.2. Вид Договора – договор срочного безотзывного банковского вклада (депозита).</w:t>
      </w:r>
    </w:p>
    <w:p w14:paraId="39CB98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1.3. </w:t>
      </w:r>
      <w:r w:rsidRPr="00B155BF">
        <w:rPr>
          <w:rFonts w:ascii="Times New Roman" w:eastAsia="Times New Roman" w:hAnsi="Times New Roman" w:cs="Times New Roman"/>
          <w:kern w:val="0"/>
          <w:sz w:val="24"/>
          <w:szCs w:val="24"/>
          <w:lang w:eastAsia="ru-RU"/>
          <w14:ligatures w14:val="none"/>
        </w:rPr>
        <w:t xml:space="preserve">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при заключении Договора.</w:t>
      </w:r>
    </w:p>
    <w:p w14:paraId="52ADF6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Размер процентов по вкладу (депозиту) для вкладов (депозитов) определяется с применением фиксированной годовой процентной ставки.</w:t>
      </w:r>
    </w:p>
    <w:p w14:paraId="76C9EC7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устройствах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w:t>
      </w:r>
    </w:p>
    <w:p w14:paraId="3B80B1E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1.4. Размер минимальной суммы первоначального взноса во вклад (депозит) составляет:</w:t>
      </w:r>
    </w:p>
    <w:p w14:paraId="533682C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белорусских рублей для вкладов (депозитов) в белорусских рублях;</w:t>
      </w:r>
    </w:p>
    <w:p w14:paraId="6D43D0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долларов США для вкладов (депозитов) в долларах США;</w:t>
      </w:r>
    </w:p>
    <w:p w14:paraId="5D963DE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евро для вкладов (депозитов) в евро;</w:t>
      </w:r>
    </w:p>
    <w:p w14:paraId="67D225A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3 000 000 (три миллиона) российских рублей для вкладов (депозитов) в российских рублях.</w:t>
      </w:r>
    </w:p>
    <w:p w14:paraId="13B531E0" w14:textId="77777777" w:rsidR="007962A7" w:rsidRPr="007962A7" w:rsidRDefault="00B155BF"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1.5. </w:t>
      </w:r>
      <w:r w:rsidR="007962A7" w:rsidRPr="007962A7">
        <w:rPr>
          <w:rFonts w:ascii="Times New Roman" w:eastAsia="Times New Roman" w:hAnsi="Times New Roman" w:cs="Times New Roman"/>
          <w:kern w:val="0"/>
          <w:sz w:val="24"/>
          <w:szCs w:val="24"/>
          <w:lang w:eastAsia="ru-RU"/>
          <w14:ligatures w14:val="none"/>
        </w:rPr>
        <w:t xml:space="preserve">Срок хранения денежных средств на счете по учету вклада (депозита) определяется в дистанционных каналах или в устройствах самообслуживания (банкомат, </w:t>
      </w:r>
      <w:proofErr w:type="spellStart"/>
      <w:r w:rsidR="007962A7" w:rsidRPr="007962A7">
        <w:rPr>
          <w:rFonts w:ascii="Times New Roman" w:eastAsia="Times New Roman" w:hAnsi="Times New Roman" w:cs="Times New Roman"/>
          <w:kern w:val="0"/>
          <w:sz w:val="24"/>
          <w:szCs w:val="24"/>
          <w:lang w:eastAsia="ru-RU"/>
          <w14:ligatures w14:val="none"/>
        </w:rPr>
        <w:t>инфокиоск</w:t>
      </w:r>
      <w:proofErr w:type="spellEnd"/>
      <w:r w:rsidR="007962A7" w:rsidRPr="007962A7">
        <w:rPr>
          <w:rFonts w:ascii="Times New Roman" w:eastAsia="Times New Roman" w:hAnsi="Times New Roman" w:cs="Times New Roman"/>
          <w:kern w:val="0"/>
          <w:sz w:val="24"/>
          <w:szCs w:val="24"/>
          <w:lang w:eastAsia="ru-RU"/>
          <w14:ligatures w14:val="none"/>
        </w:rPr>
        <w:t>) Вкладчиком самостоятельно и в зависимости от выбора Вкладчика может составлять:</w:t>
      </w:r>
    </w:p>
    <w:p w14:paraId="29472A0E"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в белорусских рублях - 95, 185, 370, 500, 735 календарных дней;</w:t>
      </w:r>
    </w:p>
    <w:p w14:paraId="2A252019"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в российских рублях - 95, 185, 370, 735 календарных дней;</w:t>
      </w:r>
    </w:p>
    <w:p w14:paraId="6D4D1DB8"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в долларах США, евро - 185, 370, 735 календарных дней.</w:t>
      </w:r>
    </w:p>
    <w:p w14:paraId="427A165A"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60B853EF"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1A78DE7B"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29FBC251"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3A5A68A8"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500-й календарный день со дня акцепта настоящей публичной оферты при открытии вклада (депозита) сроком хранения 500 календарных дней;</w:t>
      </w:r>
    </w:p>
    <w:p w14:paraId="396DB698" w14:textId="77777777" w:rsidR="007962A7" w:rsidRPr="007962A7" w:rsidRDefault="007962A7"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962A7">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7FE5F6C7" w14:textId="4102BC96" w:rsidR="00B155BF" w:rsidRPr="00B155BF" w:rsidRDefault="00B155BF" w:rsidP="007962A7">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1.6. </w:t>
      </w:r>
      <w:r w:rsidRPr="00B155BF">
        <w:rPr>
          <w:rFonts w:ascii="Times New Roman" w:eastAsia="Times New Roman" w:hAnsi="Times New Roman" w:cs="Times New Roman"/>
          <w:kern w:val="0"/>
          <w:sz w:val="24"/>
          <w:szCs w:val="24"/>
          <w:lang w:eastAsia="ru-RU"/>
          <w14:ligatures w14:val="none"/>
        </w:rPr>
        <w:t xml:space="preserve">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lastRenderedPageBreak/>
        <w:t xml:space="preserve">устройствах самообслуживания (банкомат, инфокиоск) в поле «Счет для перечисления % и/или остатка вклада» </w:t>
      </w:r>
      <w:r w:rsidRPr="00B155BF">
        <w:rPr>
          <w:rFonts w:ascii="Times New Roman" w:eastAsia="Times New Roman" w:hAnsi="Times New Roman" w:cs="Times New Roman"/>
          <w:kern w:val="0"/>
          <w:sz w:val="24"/>
          <w:szCs w:val="24"/>
          <w:lang w:eastAsia="ru-RU"/>
          <w14:ligatures w14:val="none"/>
        </w:rPr>
        <w:t>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3439294E"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0FF2564D"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5EE58DF4"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2783BC82"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082149DC" w14:textId="77777777" w:rsidR="0073561B" w:rsidRPr="0073561B" w:rsidRDefault="00B155BF"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1.7. </w:t>
      </w:r>
      <w:r w:rsidR="0073561B" w:rsidRPr="0073561B">
        <w:rPr>
          <w:rFonts w:ascii="Times New Roman" w:eastAsia="Times New Roman" w:hAnsi="Times New Roman" w:cs="Times New Roman"/>
          <w:kern w:val="0"/>
          <w:sz w:val="24"/>
          <w:szCs w:val="24"/>
          <w:lang w:eastAsia="ru-RU"/>
          <w14:ligatures w14:val="none"/>
        </w:rPr>
        <w:t>В зависимости от установленного Договором срока хранения вклада (депозита) пополнение вклада (депозита):</w:t>
      </w:r>
    </w:p>
    <w:p w14:paraId="001B3DD0"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по вкладам (депозитам) в белорусских рублях:</w:t>
      </w:r>
    </w:p>
    <w:p w14:paraId="301F139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не допускается;</w:t>
      </w:r>
    </w:p>
    <w:p w14:paraId="333EE56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29 календарных дней;</w:t>
      </w:r>
    </w:p>
    <w:p w14:paraId="0EF30047"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59 календарных дня;</w:t>
      </w:r>
    </w:p>
    <w:p w14:paraId="1B5E5A32"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500 календарных дней допускается в дату заключения Договора и следующие за ней 129 календарных дня;</w:t>
      </w:r>
    </w:p>
    <w:p w14:paraId="0DB6DEB3"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дней;</w:t>
      </w:r>
    </w:p>
    <w:p w14:paraId="3B8A24C9"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 xml:space="preserve">по вкладам (депозитам) в долларах США, евро: </w:t>
      </w:r>
    </w:p>
    <w:p w14:paraId="3DB20FD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допускается в дату заключения Договора и следующие за ней 59 календарных дней;</w:t>
      </w:r>
    </w:p>
    <w:p w14:paraId="7317206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149 календарных дней;</w:t>
      </w:r>
    </w:p>
    <w:p w14:paraId="59439D3C"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334 календарных дня;</w:t>
      </w:r>
    </w:p>
    <w:p w14:paraId="11F3E416"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дня;</w:t>
      </w:r>
    </w:p>
    <w:p w14:paraId="5481D8F0"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по вкладам (депозитам) в российских рублях:</w:t>
      </w:r>
    </w:p>
    <w:p w14:paraId="146C4AD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не допускается;</w:t>
      </w:r>
    </w:p>
    <w:p w14:paraId="197F601D"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29 календарных дней;</w:t>
      </w:r>
    </w:p>
    <w:p w14:paraId="4696FBBF"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59 календарных дня;</w:t>
      </w:r>
    </w:p>
    <w:p w14:paraId="2944A59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дней.</w:t>
      </w:r>
    </w:p>
    <w:p w14:paraId="4991EF45"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lastRenderedPageBreak/>
        <w:t xml:space="preserve">Пополнение вклада (депозита) допускается до принятия </w:t>
      </w:r>
      <w:proofErr w:type="spellStart"/>
      <w:r w:rsidRPr="0073561B">
        <w:rPr>
          <w:rFonts w:ascii="Times New Roman" w:eastAsia="Times New Roman" w:hAnsi="Times New Roman" w:cs="Times New Roman"/>
          <w:kern w:val="0"/>
          <w:sz w:val="24"/>
          <w:szCs w:val="24"/>
          <w:lang w:eastAsia="ru-RU"/>
          <w14:ligatures w14:val="none"/>
        </w:rPr>
        <w:t>Вкладополучателем</w:t>
      </w:r>
      <w:proofErr w:type="spellEnd"/>
      <w:r w:rsidRPr="0073561B">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18986940" w14:textId="2A0A7BB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73561B">
        <w:rPr>
          <w:rFonts w:ascii="Times New Roman" w:eastAsia="Times New Roman" w:hAnsi="Times New Roman" w:cs="Times New Roman"/>
          <w:kern w:val="0"/>
          <w:sz w:val="24"/>
          <w:szCs w:val="24"/>
          <w:lang w:eastAsia="ru-RU"/>
          <w14:ligatures w14:val="none"/>
        </w:rPr>
        <w:t>Вкладополучатель</w:t>
      </w:r>
      <w:proofErr w:type="spellEnd"/>
      <w:r w:rsidRPr="0073561B">
        <w:rPr>
          <w:rFonts w:ascii="Times New Roman" w:eastAsia="Times New Roman" w:hAnsi="Times New Roman" w:cs="Times New Roman"/>
          <w:kern w:val="0"/>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3561B">
          <w:rPr>
            <w:rStyle w:val="ac"/>
            <w:rFonts w:ascii="Times New Roman" w:eastAsia="Times New Roman" w:hAnsi="Times New Roman" w:cs="Times New Roman"/>
            <w:color w:val="auto"/>
            <w:kern w:val="0"/>
            <w:sz w:val="24"/>
            <w:szCs w:val="24"/>
            <w:lang w:eastAsia="ru-RU"/>
            <w14:ligatures w14:val="none"/>
          </w:rPr>
          <w:t>www.belapb.by).</w:t>
        </w:r>
      </w:hyperlink>
    </w:p>
    <w:p w14:paraId="42832E72" w14:textId="56D731A5" w:rsidR="00B155BF" w:rsidRPr="00B155BF" w:rsidRDefault="00B155BF" w:rsidP="0073561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3D9998B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88575E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4308362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D12EC0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1.9.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или в случае списания денежных средств со вклада (депозита) в бесспорном порядке в соответствии с законодательством.</w:t>
      </w:r>
    </w:p>
    <w:p w14:paraId="49F4E12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1.10. В случае возврата суммы вклада (депозита) до истечения срока его возврата по требованию Вкладчика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26E08C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6254A1C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w:t>
      </w:r>
      <w:r w:rsidRPr="00B155BF">
        <w:rPr>
          <w:rFonts w:ascii="Times New Roman" w:eastAsia="Times New Roman" w:hAnsi="Times New Roman" w:cs="Times New Roman"/>
          <w:color w:val="000000"/>
          <w:kern w:val="0"/>
          <w:sz w:val="24"/>
          <w:szCs w:val="24"/>
          <w:lang w:eastAsia="ru-RU"/>
          <w14:ligatures w14:val="none"/>
        </w:rPr>
        <w:lastRenderedPageBreak/>
        <w:t xml:space="preserve">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63CFFC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1.11. За несвоевременный возврат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вклада (депозита) или несвоевременную выплату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начисленных процентов,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3D19A2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1.12. В случае неисполнения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1B6B3A0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1.13. Порядок изменения размера процентов по вкладу (депозиту):</w:t>
      </w:r>
    </w:p>
    <w:p w14:paraId="7B9DB5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6C47ACC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4BB8B8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1.15. </w:t>
      </w:r>
      <w:r w:rsidRPr="00B155BF">
        <w:rPr>
          <w:rFonts w:ascii="Times New Roman" w:eastAsia="Times New Roman" w:hAnsi="Times New Roman" w:cs="Times New Roman"/>
          <w:kern w:val="0"/>
          <w:sz w:val="24"/>
          <w:szCs w:val="24"/>
          <w:lang w:eastAsia="ru-RU"/>
          <w14:ligatures w14:val="none"/>
        </w:rPr>
        <w:t xml:space="preserve">1.15. </w:t>
      </w:r>
      <w:r w:rsidRPr="00B155BF">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B155BF">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bdr w:val="none" w:sz="0" w:space="0" w:color="auto" w:frame="1"/>
          <w:lang w:eastAsia="ru-RU"/>
          <w14:ligatures w14:val="none"/>
        </w:rPr>
        <w:t>.</w:t>
      </w:r>
    </w:p>
    <w:p w14:paraId="79E4C063"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2. ПРАВА И ОБЯЗАННОСТИ СТОРОН</w:t>
      </w:r>
    </w:p>
    <w:p w14:paraId="57B589F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2.1.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обязуется:</w:t>
      </w:r>
    </w:p>
    <w:p w14:paraId="6A7A365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10 календарных дней, начиная со дня поступления суммы первоначального взноса во вклад (депозит) на счет по учету вкладов (депозитов);</w:t>
      </w:r>
    </w:p>
    <w:p w14:paraId="6D84C77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2.1.2. возвратить вклад (депозит) в порядке, определенном настоящим Договором;</w:t>
      </w:r>
    </w:p>
    <w:p w14:paraId="19E4B16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757613B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2.2. </w:t>
      </w:r>
      <w:r w:rsidRPr="00B155BF">
        <w:rPr>
          <w:rFonts w:ascii="Times New Roman" w:eastAsia="Times New Roman" w:hAnsi="Times New Roman" w:cs="Times New Roman"/>
          <w:kern w:val="0"/>
          <w:sz w:val="24"/>
          <w:szCs w:val="24"/>
          <w:lang w:eastAsia="ru-RU"/>
          <w14:ligatures w14:val="none"/>
        </w:rPr>
        <w:t xml:space="preserve">Вкладчик обязуется информировать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4DDFD4E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w:t>
      </w:r>
    </w:p>
    <w:p w14:paraId="1EF8B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45FDF9A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3B6003C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lastRenderedPageBreak/>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6D7E4116"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B155BF">
        <w:rPr>
          <w:rFonts w:ascii="Times New Roman" w:eastAsia="Times New Roman" w:hAnsi="Times New Roman" w:cs="Times New Roman"/>
          <w:kern w:val="0"/>
          <w:sz w:val="24"/>
          <w:szCs w:val="24"/>
          <w:lang w:eastAsia="ru-RU"/>
          <w14:ligatures w14:val="none"/>
        </w:rPr>
        <w:t>Вкладополучателю</w:t>
      </w:r>
      <w:proofErr w:type="spellEnd"/>
      <w:r w:rsidRPr="00B155BF">
        <w:rPr>
          <w:rFonts w:ascii="Times New Roman" w:eastAsia="Times New Roman" w:hAnsi="Times New Roman" w:cs="Times New Roman"/>
          <w:kern w:val="0"/>
          <w:sz w:val="24"/>
          <w:szCs w:val="24"/>
          <w:lang w:eastAsia="ru-RU"/>
          <w14:ligatures w14:val="none"/>
        </w:rPr>
        <w:t>.</w:t>
      </w:r>
    </w:p>
    <w:p w14:paraId="1F93C7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 Вкладчик имеет право:</w:t>
      </w:r>
    </w:p>
    <w:p w14:paraId="035E2ED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приостановлен (прекращен) прием дополнительных взносов.</w:t>
      </w:r>
    </w:p>
    <w:p w14:paraId="4F381FF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Сумма одной расходной операции в безналичной форме или приходной операции наличными или в безналичной форме по вкладу (депозиту) не может быть менее:</w:t>
      </w:r>
    </w:p>
    <w:p w14:paraId="372FE8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 (одного) белорусского рубля для вкладов (депозитов) в белорусских рублях;</w:t>
      </w:r>
    </w:p>
    <w:p w14:paraId="43FC396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долларов США для вкладов (депозитов) в долларах США;</w:t>
      </w:r>
    </w:p>
    <w:p w14:paraId="3E3351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евро для вкладов (депозитов) в евро;</w:t>
      </w:r>
    </w:p>
    <w:p w14:paraId="51CD6BD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(ста) российских рублей для вкладов (депозитов) в российских рублях.</w:t>
      </w:r>
    </w:p>
    <w:p w14:paraId="50AEDF1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2.4.2. получать выписки из счета по учету вклада (депозита);</w:t>
      </w:r>
    </w:p>
    <w:p w14:paraId="5FB2245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2.4.3. </w:t>
      </w:r>
      <w:r w:rsidRPr="00B155BF">
        <w:rPr>
          <w:rFonts w:ascii="Times New Roman" w:eastAsia="Times New Roman" w:hAnsi="Times New Roman" w:cs="Times New Roman"/>
          <w:kern w:val="0"/>
          <w:sz w:val="24"/>
          <w:szCs w:val="24"/>
          <w:lang w:eastAsia="ru-RU"/>
          <w14:ligatures w14:val="none"/>
        </w:rPr>
        <w:t xml:space="preserve">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(или) законодательством</w:t>
      </w:r>
      <w:r w:rsidRPr="00B155BF">
        <w:rPr>
          <w:rFonts w:ascii="Times New Roman" w:eastAsia="Times New Roman" w:hAnsi="Times New Roman" w:cs="Times New Roman"/>
          <w:color w:val="000000"/>
          <w:kern w:val="0"/>
          <w:sz w:val="24"/>
          <w:szCs w:val="24"/>
          <w:lang w:eastAsia="ru-RU"/>
          <w14:ligatures w14:val="none"/>
        </w:rPr>
        <w:t>;</w:t>
      </w:r>
    </w:p>
    <w:p w14:paraId="5029F2E7"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2.4.4. потребовать, 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745870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7FD0287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Стороны признают дату регистрации указанного документа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w:t>
      </w:r>
    </w:p>
    <w:p w14:paraId="6FAC896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w:t>
      </w:r>
      <w:r w:rsidRPr="00B155BF">
        <w:rPr>
          <w:rFonts w:ascii="Times New Roman" w:eastAsia="Times New Roman" w:hAnsi="Times New Roman" w:cs="Times New Roman"/>
          <w:color w:val="000000"/>
          <w:kern w:val="0"/>
          <w:sz w:val="24"/>
          <w:szCs w:val="24"/>
          <w:lang w:eastAsia="ru-RU"/>
          <w14:ligatures w14:val="none"/>
        </w:rPr>
        <w:lastRenderedPageBreak/>
        <w:t>Договором.</w:t>
      </w:r>
    </w:p>
    <w:p w14:paraId="491F6B10" w14:textId="77777777" w:rsidR="00B155BF" w:rsidRPr="00B155BF" w:rsidRDefault="00B155BF" w:rsidP="00B155BF">
      <w:pPr>
        <w:autoSpaceDE w:val="0"/>
        <w:autoSpaceDN w:val="0"/>
        <w:adjustRightInd w:val="0"/>
        <w:spacing w:after="0" w:line="240" w:lineRule="auto"/>
        <w:jc w:val="center"/>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b/>
          <w:bCs/>
          <w:color w:val="000000"/>
          <w:kern w:val="0"/>
          <w:sz w:val="24"/>
          <w:szCs w:val="24"/>
          <w:lang w:eastAsia="ru-RU"/>
          <w14:ligatures w14:val="none"/>
        </w:rPr>
        <w:t xml:space="preserve">         </w:t>
      </w:r>
      <w:r w:rsidRPr="00B155BF">
        <w:rPr>
          <w:rFonts w:ascii="Times New Roman" w:eastAsia="Times New Roman" w:hAnsi="Times New Roman" w:cs="Times New Roman"/>
          <w:bCs/>
          <w:color w:val="000000"/>
          <w:kern w:val="0"/>
          <w:sz w:val="24"/>
          <w:szCs w:val="24"/>
          <w:lang w:eastAsia="ru-RU"/>
          <w14:ligatures w14:val="none"/>
        </w:rPr>
        <w:t>3.</w:t>
      </w:r>
      <w:r w:rsidRPr="00B155BF">
        <w:rPr>
          <w:rFonts w:ascii="Times New Roman" w:eastAsia="Times New Roman" w:hAnsi="Times New Roman" w:cs="Times New Roman"/>
          <w:color w:val="000000"/>
          <w:kern w:val="0"/>
          <w:sz w:val="24"/>
          <w:szCs w:val="24"/>
          <w:lang w:eastAsia="ru-RU"/>
          <w14:ligatures w14:val="none"/>
        </w:rPr>
        <w:t xml:space="preserve"> ПОРЯДОК НАЧИСЛЕНИЯ И ВЫПЛАТЫ ПРОЦЕНТОВ ПО ВКЛАДУ (ДЕПОЗИТУ)</w:t>
      </w:r>
    </w:p>
    <w:p w14:paraId="555B256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3.1. </w:t>
      </w:r>
      <w:r w:rsidRPr="00B155BF">
        <w:rPr>
          <w:rFonts w:ascii="Times New Roman" w:eastAsia="Times New Roman" w:hAnsi="Times New Roman" w:cs="Times New Roman"/>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4B672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3.2. Проценты по вкладу (депозиту) начисляются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 </w:t>
      </w:r>
    </w:p>
    <w:p w14:paraId="065B2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3.3. </w:t>
      </w:r>
      <w:r w:rsidRPr="00B155BF">
        <w:rPr>
          <w:rFonts w:ascii="Times New Roman" w:eastAsia="Times New Roman" w:hAnsi="Times New Roman" w:cs="Times New Roman"/>
          <w:kern w:val="0"/>
          <w:sz w:val="24"/>
          <w:szCs w:val="24"/>
          <w:lang w:eastAsia="ru-RU"/>
          <w14:ligatures w14:val="none"/>
        </w:rPr>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1607F1C"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4. ДОПОЛНИТЕЛЬНЫЕ УСЛОВИЯ</w:t>
      </w:r>
    </w:p>
    <w:p w14:paraId="1DF93D4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4.1. </w:t>
      </w:r>
      <w:r w:rsidRPr="00B155BF">
        <w:rPr>
          <w:rFonts w:ascii="Times New Roman" w:eastAsia="Times New Roman" w:hAnsi="Times New Roman" w:cs="Times New Roman"/>
          <w:kern w:val="0"/>
          <w:sz w:val="24"/>
          <w:szCs w:val="24"/>
          <w:lang w:eastAsia="ru-RU"/>
          <w14:ligatures w14:val="none"/>
        </w:rPr>
        <w:t>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7DAF7F4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50B2245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5D286F1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4.2.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а также по требованию Вкладчика или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33A0D7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15232E6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01B6EFD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в порядке, установленным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w:t>
      </w:r>
    </w:p>
    <w:p w14:paraId="621CED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0ABF81B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4.6.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w:t>
      </w:r>
      <w:r w:rsidRPr="00B155BF">
        <w:rPr>
          <w:rFonts w:ascii="Times New Roman" w:eastAsia="Times New Roman" w:hAnsi="Times New Roman" w:cs="Times New Roman"/>
          <w:color w:val="000000"/>
          <w:kern w:val="0"/>
          <w:sz w:val="24"/>
          <w:szCs w:val="24"/>
          <w:lang w:eastAsia="ru-RU"/>
          <w14:ligatures w14:val="none"/>
        </w:rPr>
        <w:lastRenderedPageBreak/>
        <w:t>(включая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6FE020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4.7.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044A9761"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5. ОСОБЫЕ УСЛОВИЯ</w:t>
      </w:r>
    </w:p>
    <w:p w14:paraId="3C9E1A69"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5.1. </w:t>
      </w:r>
      <w:r w:rsidRPr="00B155BF">
        <w:rPr>
          <w:rFonts w:ascii="Times New Roman" w:eastAsia="Times New Roman" w:hAnsi="Times New Roman" w:cs="Times New Roman"/>
          <w:kern w:val="0"/>
          <w:sz w:val="24"/>
          <w:szCs w:val="24"/>
          <w:lang w:eastAsia="ru-RU"/>
          <w14:ligatures w14:val="none"/>
        </w:rPr>
        <w:t xml:space="preserve">Возврат вклада (депозита) и (или) выплата процентов по вкладу (депозиту) осуществляется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868148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При получении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BE72A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1E5AF17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5.2.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B155BF">
        <w:rPr>
          <w:rFonts w:ascii="Cambria Math" w:eastAsia="Times New Roman" w:hAnsi="Cambria Math" w:cs="Cambria Math"/>
          <w:color w:val="000000"/>
          <w:kern w:val="0"/>
          <w:sz w:val="24"/>
          <w:szCs w:val="24"/>
          <w:lang w:eastAsia="ru-RU"/>
          <w14:ligatures w14:val="none"/>
        </w:rPr>
        <w:t>​</w:t>
      </w:r>
      <w:r w:rsidRPr="00B155BF">
        <w:rPr>
          <w:rFonts w:ascii="Times New Roman" w:eastAsia="Times New Roman" w:hAnsi="Times New Roman" w:cs="Times New Roman"/>
          <w:color w:val="000000"/>
          <w:kern w:val="0"/>
          <w:sz w:val="24"/>
          <w:szCs w:val="24"/>
          <w:lang w:eastAsia="ru-RU"/>
          <w14:ligatures w14:val="none"/>
        </w:rPr>
        <w:t xml:space="preserve"> года, выданной Национальным банком Республики Беларусь.</w:t>
      </w:r>
    </w:p>
    <w:p w14:paraId="717BBF9D" w14:textId="77777777" w:rsidR="006E5C39" w:rsidRDefault="006E5C39"/>
    <w:sectPr w:rsidR="006E5C39" w:rsidSect="00B155B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BF"/>
    <w:rsid w:val="000C3565"/>
    <w:rsid w:val="002D15B8"/>
    <w:rsid w:val="006E5C39"/>
    <w:rsid w:val="0073561B"/>
    <w:rsid w:val="007962A7"/>
    <w:rsid w:val="00954365"/>
    <w:rsid w:val="00B155BF"/>
    <w:rsid w:val="00B70BD8"/>
    <w:rsid w:val="00EC0E66"/>
    <w:rsid w:val="00F260B3"/>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40AF"/>
  <w15:chartTrackingRefBased/>
  <w15:docId w15:val="{731BA9BB-7C64-42FE-BF78-9D22954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5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5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55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55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55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5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5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5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5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5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55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55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55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55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55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55BF"/>
    <w:rPr>
      <w:rFonts w:eastAsiaTheme="majorEastAsia" w:cstheme="majorBidi"/>
      <w:color w:val="595959" w:themeColor="text1" w:themeTint="A6"/>
    </w:rPr>
  </w:style>
  <w:style w:type="character" w:customStyle="1" w:styleId="80">
    <w:name w:val="Заголовок 8 Знак"/>
    <w:basedOn w:val="a0"/>
    <w:link w:val="8"/>
    <w:uiPriority w:val="9"/>
    <w:semiHidden/>
    <w:rsid w:val="00B155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55BF"/>
    <w:rPr>
      <w:rFonts w:eastAsiaTheme="majorEastAsia" w:cstheme="majorBidi"/>
      <w:color w:val="272727" w:themeColor="text1" w:themeTint="D8"/>
    </w:rPr>
  </w:style>
  <w:style w:type="paragraph" w:styleId="a3">
    <w:name w:val="Title"/>
    <w:basedOn w:val="a"/>
    <w:next w:val="a"/>
    <w:link w:val="a4"/>
    <w:uiPriority w:val="10"/>
    <w:qFormat/>
    <w:rsid w:val="00B1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55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55BF"/>
    <w:pPr>
      <w:spacing w:before="160"/>
      <w:jc w:val="center"/>
    </w:pPr>
    <w:rPr>
      <w:i/>
      <w:iCs/>
      <w:color w:val="404040" w:themeColor="text1" w:themeTint="BF"/>
    </w:rPr>
  </w:style>
  <w:style w:type="character" w:customStyle="1" w:styleId="22">
    <w:name w:val="Цитата 2 Знак"/>
    <w:basedOn w:val="a0"/>
    <w:link w:val="21"/>
    <w:uiPriority w:val="29"/>
    <w:rsid w:val="00B155BF"/>
    <w:rPr>
      <w:i/>
      <w:iCs/>
      <w:color w:val="404040" w:themeColor="text1" w:themeTint="BF"/>
    </w:rPr>
  </w:style>
  <w:style w:type="paragraph" w:styleId="a7">
    <w:name w:val="List Paragraph"/>
    <w:basedOn w:val="a"/>
    <w:uiPriority w:val="34"/>
    <w:qFormat/>
    <w:rsid w:val="00B155BF"/>
    <w:pPr>
      <w:ind w:left="720"/>
      <w:contextualSpacing/>
    </w:pPr>
  </w:style>
  <w:style w:type="character" w:styleId="a8">
    <w:name w:val="Intense Emphasis"/>
    <w:basedOn w:val="a0"/>
    <w:uiPriority w:val="21"/>
    <w:qFormat/>
    <w:rsid w:val="00B155BF"/>
    <w:rPr>
      <w:i/>
      <w:iCs/>
      <w:color w:val="2F5496" w:themeColor="accent1" w:themeShade="BF"/>
    </w:rPr>
  </w:style>
  <w:style w:type="paragraph" w:styleId="a9">
    <w:name w:val="Intense Quote"/>
    <w:basedOn w:val="a"/>
    <w:next w:val="a"/>
    <w:link w:val="aa"/>
    <w:uiPriority w:val="30"/>
    <w:qFormat/>
    <w:rsid w:val="00B1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55BF"/>
    <w:rPr>
      <w:i/>
      <w:iCs/>
      <w:color w:val="2F5496" w:themeColor="accent1" w:themeShade="BF"/>
    </w:rPr>
  </w:style>
  <w:style w:type="character" w:styleId="ab">
    <w:name w:val="Intense Reference"/>
    <w:basedOn w:val="a0"/>
    <w:uiPriority w:val="32"/>
    <w:qFormat/>
    <w:rsid w:val="00B155BF"/>
    <w:rPr>
      <w:b/>
      <w:bCs/>
      <w:smallCaps/>
      <w:color w:val="2F5496" w:themeColor="accent1" w:themeShade="BF"/>
      <w:spacing w:val="5"/>
    </w:rPr>
  </w:style>
  <w:style w:type="character" w:styleId="ac">
    <w:name w:val="Hyperlink"/>
    <w:basedOn w:val="a0"/>
    <w:uiPriority w:val="99"/>
    <w:unhideWhenUsed/>
    <w:rsid w:val="0073561B"/>
    <w:rPr>
      <w:color w:val="0563C1" w:themeColor="hyperlink"/>
      <w:u w:val="single"/>
    </w:rPr>
  </w:style>
  <w:style w:type="character" w:styleId="ad">
    <w:name w:val="Unresolved Mention"/>
    <w:basedOn w:val="a0"/>
    <w:uiPriority w:val="99"/>
    <w:semiHidden/>
    <w:unhideWhenUsed/>
    <w:rsid w:val="00735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0244">
      <w:bodyDiv w:val="1"/>
      <w:marLeft w:val="0"/>
      <w:marRight w:val="0"/>
      <w:marTop w:val="0"/>
      <w:marBottom w:val="0"/>
      <w:divBdr>
        <w:top w:val="none" w:sz="0" w:space="0" w:color="auto"/>
        <w:left w:val="none" w:sz="0" w:space="0" w:color="auto"/>
        <w:bottom w:val="none" w:sz="0" w:space="0" w:color="auto"/>
        <w:right w:val="none" w:sz="0" w:space="0" w:color="auto"/>
      </w:divBdr>
      <w:divsChild>
        <w:div w:id="1115439497">
          <w:marLeft w:val="0"/>
          <w:marRight w:val="0"/>
          <w:marTop w:val="0"/>
          <w:marBottom w:val="0"/>
          <w:divBdr>
            <w:top w:val="none" w:sz="0" w:space="0" w:color="auto"/>
            <w:left w:val="none" w:sz="0" w:space="0" w:color="auto"/>
            <w:bottom w:val="none" w:sz="0" w:space="0" w:color="auto"/>
            <w:right w:val="none" w:sz="0" w:space="0" w:color="auto"/>
          </w:divBdr>
        </w:div>
      </w:divsChild>
    </w:div>
    <w:div w:id="1860241211">
      <w:bodyDiv w:val="1"/>
      <w:marLeft w:val="0"/>
      <w:marRight w:val="0"/>
      <w:marTop w:val="0"/>
      <w:marBottom w:val="0"/>
      <w:divBdr>
        <w:top w:val="none" w:sz="0" w:space="0" w:color="auto"/>
        <w:left w:val="none" w:sz="0" w:space="0" w:color="auto"/>
        <w:bottom w:val="none" w:sz="0" w:space="0" w:color="auto"/>
        <w:right w:val="none" w:sz="0" w:space="0" w:color="auto"/>
      </w:divBdr>
      <w:divsChild>
        <w:div w:id="126013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3989</Words>
  <Characters>22741</Characters>
  <Application>Microsoft Office Word</Application>
  <DocSecurity>0</DocSecurity>
  <Lines>189</Lines>
  <Paragraphs>53</Paragraphs>
  <ScaleCrop>false</ScaleCrop>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6</cp:revision>
  <dcterms:created xsi:type="dcterms:W3CDTF">2025-08-27T12:43:00Z</dcterms:created>
  <dcterms:modified xsi:type="dcterms:W3CDTF">2025-09-01T15:09:00Z</dcterms:modified>
</cp:coreProperties>
</file>