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46353" w14:textId="17546965" w:rsidR="0081069D" w:rsidRPr="00C62F9F" w:rsidRDefault="0081069D" w:rsidP="0081069D">
      <w:pPr>
        <w:jc w:val="right"/>
        <w:rPr>
          <w:rFonts w:ascii="Times New Roman" w:hAnsi="Times New Roman" w:cs="Times New Roman"/>
          <w:sz w:val="28"/>
          <w:szCs w:val="28"/>
        </w:rPr>
      </w:pPr>
      <w:bookmarkStart w:id="0" w:name="_GoBack"/>
      <w:r w:rsidRPr="00C62F9F">
        <w:rPr>
          <w:rFonts w:ascii="Times New Roman" w:hAnsi="Times New Roman" w:cs="Times New Roman"/>
          <w:sz w:val="28"/>
          <w:szCs w:val="28"/>
        </w:rPr>
        <w:t xml:space="preserve">Приложение </w:t>
      </w:r>
      <w:r w:rsidRPr="00C62F9F">
        <w:rPr>
          <w:rFonts w:ascii="Times New Roman" w:hAnsi="Times New Roman" w:cs="Times New Roman"/>
          <w:sz w:val="28"/>
          <w:szCs w:val="28"/>
          <w:lang w:val="en-US"/>
        </w:rPr>
        <w:t>5</w:t>
      </w:r>
    </w:p>
    <w:bookmarkEnd w:id="0"/>
    <w:p w14:paraId="16DEE971" w14:textId="77777777" w:rsidR="0081069D" w:rsidRDefault="0081069D" w:rsidP="008C6BAF">
      <w:pPr>
        <w:suppressAutoHyphens/>
        <w:spacing w:after="0" w:line="240" w:lineRule="auto"/>
        <w:jc w:val="center"/>
        <w:rPr>
          <w:rFonts w:ascii="Times New Roman" w:eastAsia="Times New Roman" w:hAnsi="Times New Roman" w:cs="Times New Roman"/>
          <w:b/>
          <w:kern w:val="0"/>
          <w:lang w:eastAsia="ru-RU"/>
          <w14:ligatures w14:val="none"/>
        </w:rPr>
      </w:pPr>
    </w:p>
    <w:p w14:paraId="2E2BB061" w14:textId="4C6697EB" w:rsidR="008C6BAF" w:rsidRPr="008C6BAF" w:rsidRDefault="008C6BAF" w:rsidP="008C6BAF">
      <w:pPr>
        <w:suppressAutoHyphens/>
        <w:spacing w:after="0" w:line="240" w:lineRule="auto"/>
        <w:jc w:val="center"/>
        <w:rPr>
          <w:rFonts w:ascii="Times New Roman" w:eastAsia="Times New Roman" w:hAnsi="Times New Roman" w:cs="Times New Roman"/>
          <w:b/>
          <w:kern w:val="0"/>
          <w:lang w:eastAsia="ru-RU"/>
          <w14:ligatures w14:val="none"/>
        </w:rPr>
      </w:pPr>
      <w:r w:rsidRPr="008C6BAF">
        <w:rPr>
          <w:rFonts w:ascii="Times New Roman" w:eastAsia="Times New Roman" w:hAnsi="Times New Roman" w:cs="Times New Roman"/>
          <w:b/>
          <w:kern w:val="0"/>
          <w:lang w:eastAsia="ru-RU"/>
          <w14:ligatures w14:val="none"/>
        </w:rPr>
        <w:t>ДОГОВОР СРОЧНОГО БЕЗОТЗЫВНОГО БАНКОВСКОГО ВКЛАДА (ДЕПОЗИТА) «ДОХОДНЫЙ ПЛЮС» №</w:t>
      </w:r>
    </w:p>
    <w:p w14:paraId="5D1A46B6" w14:textId="77777777" w:rsidR="008C6BAF" w:rsidRPr="008C6BAF" w:rsidRDefault="008C6BAF" w:rsidP="008C6BAF">
      <w:pPr>
        <w:suppressAutoHyphens/>
        <w:spacing w:after="0" w:line="240" w:lineRule="auto"/>
        <w:jc w:val="center"/>
        <w:rPr>
          <w:rFonts w:ascii="Times New Roman" w:eastAsia="Times New Roman" w:hAnsi="Times New Roman" w:cs="Times New Roman"/>
          <w:b/>
          <w:kern w:val="0"/>
          <w:lang w:eastAsia="ru-RU"/>
          <w14:ligatures w14:val="none"/>
        </w:rPr>
      </w:pPr>
    </w:p>
    <w:tbl>
      <w:tblPr>
        <w:tblW w:w="0" w:type="auto"/>
        <w:tblLayout w:type="fixed"/>
        <w:tblCellMar>
          <w:left w:w="0" w:type="dxa"/>
          <w:right w:w="0" w:type="dxa"/>
        </w:tblCellMar>
        <w:tblLook w:val="04A0" w:firstRow="1" w:lastRow="0" w:firstColumn="1" w:lastColumn="0" w:noHBand="0" w:noVBand="1"/>
      </w:tblPr>
      <w:tblGrid>
        <w:gridCol w:w="4819"/>
        <w:gridCol w:w="4927"/>
      </w:tblGrid>
      <w:tr w:rsidR="008C6BAF" w:rsidRPr="008C6BAF" w14:paraId="01E4C98A" w14:textId="77777777" w:rsidTr="00BB009C">
        <w:trPr>
          <w:trHeight w:val="229"/>
        </w:trPr>
        <w:tc>
          <w:tcPr>
            <w:tcW w:w="4819" w:type="dxa"/>
            <w:hideMark/>
          </w:tcPr>
          <w:p w14:paraId="5417AD46"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г. ___________</w:t>
            </w:r>
          </w:p>
        </w:tc>
        <w:tc>
          <w:tcPr>
            <w:tcW w:w="4927" w:type="dxa"/>
            <w:hideMark/>
          </w:tcPr>
          <w:p w14:paraId="2B5F4B9E"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 xml:space="preserve">                           «___» _______________20__ г.</w:t>
            </w:r>
          </w:p>
        </w:tc>
      </w:tr>
      <w:tr w:rsidR="008C6BAF" w:rsidRPr="008C6BAF" w14:paraId="6BE9A2B7" w14:textId="77777777" w:rsidTr="00BB009C">
        <w:trPr>
          <w:trHeight w:val="229"/>
        </w:trPr>
        <w:tc>
          <w:tcPr>
            <w:tcW w:w="4819" w:type="dxa"/>
          </w:tcPr>
          <w:p w14:paraId="41145E24" w14:textId="77777777" w:rsidR="008C6BAF" w:rsidRPr="008C6BAF" w:rsidRDefault="008C6BAF" w:rsidP="008C6BAF">
            <w:pPr>
              <w:suppressAutoHyphens/>
              <w:spacing w:after="0" w:line="252" w:lineRule="auto"/>
              <w:rPr>
                <w:rFonts w:ascii="Times New Roman" w:eastAsia="Times New Roman" w:hAnsi="Times New Roman" w:cs="Times New Roman"/>
                <w:kern w:val="0"/>
                <w:lang w:eastAsia="ru-RU"/>
                <w14:ligatures w14:val="none"/>
              </w:rPr>
            </w:pPr>
          </w:p>
        </w:tc>
        <w:tc>
          <w:tcPr>
            <w:tcW w:w="4927" w:type="dxa"/>
          </w:tcPr>
          <w:p w14:paraId="456C6EF6" w14:textId="77777777" w:rsidR="008C6BAF" w:rsidRPr="008C6BAF" w:rsidRDefault="008C6BAF" w:rsidP="008C6BAF">
            <w:pPr>
              <w:suppressAutoHyphens/>
              <w:spacing w:after="0" w:line="252" w:lineRule="auto"/>
              <w:rPr>
                <w:rFonts w:ascii="Times New Roman" w:eastAsia="Times New Roman" w:hAnsi="Times New Roman" w:cs="Times New Roman"/>
                <w:kern w:val="0"/>
                <w:lang w:eastAsia="ru-RU"/>
                <w14:ligatures w14:val="none"/>
              </w:rPr>
            </w:pPr>
          </w:p>
        </w:tc>
      </w:tr>
    </w:tbl>
    <w:p w14:paraId="7D142E07"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Открытое акционерное общество «Белагропромбанк» (ОАО «Белагропромбанк»), именуемое в дальнейшем «Вкладополучатель», в лице _________________________________, действующего на основании _________________________________, с одной стороны, и ___________________________________________, именуемый (ая) в дальнейшем «Вкладчик», с другой стороны, далее совместно именуемые «Стороны», заключили настоящий договор срочного безотзывного банковского вклада (депозита) (далее – Договор) о нижеследующем:</w:t>
      </w:r>
    </w:p>
    <w:p w14:paraId="0A36C3F3"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1. Вкладчик вносит наличными или перечисляет в безналичной форме денежные средства в валюте вклада (депозита) на счет по учету вклада (депозита) №</w:t>
      </w:r>
      <w:r w:rsidRPr="008C6BAF">
        <w:rPr>
          <w:rFonts w:ascii="Times New Roman" w:eastAsia="Times New Roman" w:hAnsi="Times New Roman" w:cs="Times New Roman"/>
          <w:kern w:val="0"/>
          <w:lang w:val="en-GB" w:eastAsia="ru-RU"/>
          <w14:ligatures w14:val="none"/>
        </w:rPr>
        <w:t> </w:t>
      </w:r>
      <w:r w:rsidRPr="008C6BAF">
        <w:rPr>
          <w:rFonts w:ascii="Times New Roman" w:eastAsia="Times New Roman" w:hAnsi="Times New Roman" w:cs="Times New Roman"/>
          <w:kern w:val="0"/>
          <w:lang w:eastAsia="ru-RU"/>
          <w14:ligatures w14:val="none"/>
        </w:rPr>
        <w:t>BY__BAPB3414_______________ / __________, а Вкладополучатель принимает денежные средства во вклад (депозит), обязуется обеспечить их сохранность и возвратить Вкладчику, а также выплатить начисленные по вкладу (депозиту) проценты в порядке и на условиях, предусмотренных настоящим Договором.</w:t>
      </w:r>
    </w:p>
    <w:p w14:paraId="7207E910"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2. Вид Договора: договор срочного безотзывного банковского вклада (депозита).</w:t>
      </w:r>
    </w:p>
    <w:p w14:paraId="3484F5F6"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3. Сумма вклада (депозита) в момент заключения настоящего Договора (сумма первоначального взноса во вклад (депозит)) составляет:</w:t>
      </w:r>
    </w:p>
    <w:tbl>
      <w:tblPr>
        <w:tblW w:w="0" w:type="auto"/>
        <w:tblInd w:w="5" w:type="dxa"/>
        <w:tblLayout w:type="fixed"/>
        <w:tblCellMar>
          <w:left w:w="0" w:type="dxa"/>
          <w:right w:w="0" w:type="dxa"/>
        </w:tblCellMar>
        <w:tblLook w:val="04A0" w:firstRow="1" w:lastRow="0" w:firstColumn="1" w:lastColumn="0" w:noHBand="0" w:noVBand="1"/>
      </w:tblPr>
      <w:tblGrid>
        <w:gridCol w:w="3310"/>
        <w:gridCol w:w="3600"/>
        <w:gridCol w:w="2696"/>
      </w:tblGrid>
      <w:tr w:rsidR="008C6BAF" w:rsidRPr="008C6BAF" w14:paraId="0AF2E26D" w14:textId="77777777" w:rsidTr="00BB009C">
        <w:trPr>
          <w:trHeight w:val="458"/>
        </w:trPr>
        <w:tc>
          <w:tcPr>
            <w:tcW w:w="3310" w:type="dxa"/>
            <w:tcBorders>
              <w:top w:val="single" w:sz="4" w:space="0" w:color="auto"/>
              <w:left w:val="single" w:sz="4" w:space="0" w:color="auto"/>
              <w:bottom w:val="single" w:sz="4" w:space="0" w:color="auto"/>
              <w:right w:val="single" w:sz="4" w:space="0" w:color="auto"/>
            </w:tcBorders>
            <w:hideMark/>
          </w:tcPr>
          <w:p w14:paraId="6BDCAE9D" w14:textId="77777777" w:rsidR="008C6BAF" w:rsidRPr="008C6BAF" w:rsidRDefault="008C6BAF" w:rsidP="008C6BAF">
            <w:pPr>
              <w:suppressAutoHyphens/>
              <w:spacing w:after="0" w:line="252" w:lineRule="auto"/>
              <w:ind w:firstLine="142"/>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14:paraId="0C23AB7C" w14:textId="77777777" w:rsidR="008C6BAF" w:rsidRPr="008C6BAF" w:rsidRDefault="008C6BAF" w:rsidP="008C6BAF">
            <w:pPr>
              <w:suppressAutoHyphens/>
              <w:spacing w:after="0" w:line="252" w:lineRule="auto"/>
              <w:ind w:firstLine="142"/>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14:paraId="4F765DA2" w14:textId="77777777" w:rsidR="008C6BAF" w:rsidRPr="008C6BAF" w:rsidRDefault="008C6BAF" w:rsidP="008C6BAF">
            <w:pPr>
              <w:suppressAutoHyphens/>
              <w:spacing w:after="0" w:line="252" w:lineRule="auto"/>
              <w:ind w:firstLine="142"/>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Валюта вклада (депозита)</w:t>
            </w:r>
          </w:p>
        </w:tc>
      </w:tr>
      <w:tr w:rsidR="008C6BAF" w:rsidRPr="008C6BAF" w14:paraId="7059B468" w14:textId="77777777" w:rsidTr="00BB009C">
        <w:trPr>
          <w:trHeight w:val="229"/>
        </w:trPr>
        <w:tc>
          <w:tcPr>
            <w:tcW w:w="3310" w:type="dxa"/>
            <w:tcBorders>
              <w:top w:val="single" w:sz="4" w:space="0" w:color="auto"/>
              <w:left w:val="single" w:sz="4" w:space="0" w:color="auto"/>
              <w:bottom w:val="single" w:sz="4" w:space="0" w:color="auto"/>
              <w:right w:val="single" w:sz="4" w:space="0" w:color="auto"/>
            </w:tcBorders>
            <w:hideMark/>
          </w:tcPr>
          <w:p w14:paraId="22E52985" w14:textId="77777777" w:rsidR="008C6BAF" w:rsidRPr="008C6BAF" w:rsidRDefault="008C6BAF" w:rsidP="008C6BAF">
            <w:pPr>
              <w:suppressAutoHyphens/>
              <w:spacing w:after="0" w:line="252"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 xml:space="preserve"> </w:t>
            </w:r>
          </w:p>
        </w:tc>
        <w:tc>
          <w:tcPr>
            <w:tcW w:w="3600" w:type="dxa"/>
            <w:tcBorders>
              <w:top w:val="single" w:sz="4" w:space="0" w:color="auto"/>
              <w:left w:val="single" w:sz="4" w:space="0" w:color="auto"/>
              <w:bottom w:val="single" w:sz="4" w:space="0" w:color="auto"/>
              <w:right w:val="single" w:sz="4" w:space="0" w:color="auto"/>
            </w:tcBorders>
            <w:hideMark/>
          </w:tcPr>
          <w:p w14:paraId="4C769674" w14:textId="77777777" w:rsidR="008C6BAF" w:rsidRPr="008C6BAF" w:rsidRDefault="008C6BAF" w:rsidP="008C6BAF">
            <w:pPr>
              <w:suppressAutoHyphens/>
              <w:spacing w:after="0" w:line="252"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 xml:space="preserve"> </w:t>
            </w:r>
          </w:p>
        </w:tc>
        <w:tc>
          <w:tcPr>
            <w:tcW w:w="2696" w:type="dxa"/>
            <w:tcBorders>
              <w:top w:val="single" w:sz="4" w:space="0" w:color="auto"/>
              <w:left w:val="single" w:sz="4" w:space="0" w:color="auto"/>
              <w:bottom w:val="single" w:sz="4" w:space="0" w:color="auto"/>
              <w:right w:val="single" w:sz="4" w:space="0" w:color="auto"/>
            </w:tcBorders>
          </w:tcPr>
          <w:p w14:paraId="7C76B063" w14:textId="77777777" w:rsidR="008C6BAF" w:rsidRPr="008C6BAF" w:rsidRDefault="008C6BAF" w:rsidP="008C6BAF">
            <w:pPr>
              <w:suppressAutoHyphens/>
              <w:spacing w:after="0" w:line="252" w:lineRule="auto"/>
              <w:jc w:val="center"/>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Белорусские рубли</w:t>
            </w:r>
          </w:p>
        </w:tc>
      </w:tr>
    </w:tbl>
    <w:p w14:paraId="3C6AF018"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 xml:space="preserve">4. Срок хранения денежных средств на счете по учету вклада (депозита) составляет ______________ (____________________________) календарных дней с ___.___._____ по ___.___._____. </w:t>
      </w:r>
    </w:p>
    <w:p w14:paraId="6D899B5D"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Дата наступления срока возврата вклада (депозита): ___.___._____.</w:t>
      </w:r>
    </w:p>
    <w:p w14:paraId="531A2609"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5. Вклад (депозит) и причитающиеся по нему проценты выплачиваются в валюте вклада (депозита).</w:t>
      </w:r>
    </w:p>
    <w:p w14:paraId="2D320CCD" w14:textId="77777777" w:rsidR="008C6BAF" w:rsidRPr="008C6BAF" w:rsidRDefault="008C6BAF" w:rsidP="008C6BAF">
      <w:pPr>
        <w:tabs>
          <w:tab w:val="num" w:pos="284"/>
          <w:tab w:val="left" w:pos="567"/>
          <w:tab w:val="left" w:pos="709"/>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6. Размер процентов по вкладу (депозиту) определяется с применением фиксированной годовой процентной ставки:</w:t>
      </w:r>
    </w:p>
    <w:p w14:paraId="7421CCAB" w14:textId="77777777" w:rsidR="008C6BAF" w:rsidRPr="008C6BAF" w:rsidRDefault="008C6BAF" w:rsidP="008C6BAF">
      <w:pPr>
        <w:tabs>
          <w:tab w:val="num" w:pos="284"/>
          <w:tab w:val="left" w:pos="567"/>
          <w:tab w:val="left" w:pos="709"/>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в день заключения договора и последующие за ним 94 календарных дня хранения - ____ (___________________) процента(ов) годовых;</w:t>
      </w:r>
    </w:p>
    <w:p w14:paraId="4FB59ECD" w14:textId="77777777" w:rsidR="008C6BAF" w:rsidRPr="008C6BAF" w:rsidRDefault="008C6BAF" w:rsidP="008C6BAF">
      <w:pPr>
        <w:tabs>
          <w:tab w:val="num" w:pos="284"/>
          <w:tab w:val="left" w:pos="567"/>
          <w:tab w:val="left" w:pos="709"/>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со дня, следующего за днем истечения первых 95 календарных дней хранения вклада, - ____ (___________________) процента(ов) годовых.</w:t>
      </w:r>
    </w:p>
    <w:p w14:paraId="059A00DB"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7. Проценты по вкладу (депозиту) начисляются на сумму вклада (депозита) ежемесячно, со дня поступления вклада (депозита) на счет по учету вклада (депозита) включительно по день, предшествующий дню возврата вклада (депозита).</w:t>
      </w:r>
    </w:p>
    <w:p w14:paraId="001F97FF" w14:textId="77777777" w:rsidR="008C6BAF" w:rsidRPr="008C6BAF" w:rsidRDefault="008C6BAF" w:rsidP="008C6BAF">
      <w:pPr>
        <w:tabs>
          <w:tab w:val="left" w:pos="0"/>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Если дата возврата вклада (депозита) приходится на нерабочий день в подразделении Вкладополучателя, где заключен настоящий Договор, то возврат вклада (депозита) производится в первый рабочий день в подразделении Вкладополучателя, где заключен настоящий Договор, следующий за нерабочим днем. При этом проценты по вкладу (депозиту) за нерабочие дни начисляются и уплачиваются в размере, установленном настоящим Договором.</w:t>
      </w:r>
    </w:p>
    <w:p w14:paraId="5716BB39" w14:textId="77777777" w:rsidR="008C6BAF" w:rsidRPr="008C6BAF" w:rsidRDefault="008C6BAF" w:rsidP="008C6BAF">
      <w:pPr>
        <w:tabs>
          <w:tab w:val="left" w:pos="0"/>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lastRenderedPageBreak/>
        <w:t>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1E194C48" w14:textId="77777777" w:rsidR="008C6BAF" w:rsidRPr="008C6BAF" w:rsidRDefault="008C6BAF" w:rsidP="008C6BAF">
      <w:pPr>
        <w:tabs>
          <w:tab w:val="left" w:pos="0"/>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4B902E76"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В день наступления срока возврата вклада (депозита) проценты начисляются и выплачиваются путем причисления к сумме вклада (депозита).</w:t>
      </w:r>
    </w:p>
    <w:p w14:paraId="75534991"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Возврат вклада (депозита) по истечении срока хранения вклада (депозита) осуществляется путем безналичного перечисления суммы вклада (депозита) с учетом причисленных процентов на текущий (расчетный) банковский счет Вкладчика № __________________________. В день указанного перечисления счет по учету вклада (депозита) закрывается.</w:t>
      </w:r>
    </w:p>
    <w:p w14:paraId="173A44AD"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8. Вкладчик не вправе требовать досрочного возврата вклада (депозита) (части вклада) за исключением случаев, определенных пунктом 11 настоящего Договора. Вклад (депозит) может быть возвращен досрочно только с согласия Вкладополучателя.</w:t>
      </w:r>
    </w:p>
    <w:p w14:paraId="31696436"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В случае списания денежных средств со вклада (депозита) в бесспорном порядке в соответствии с законодательством, а также в случае возврата суммы вклада (депозита) до наступления даты его возврата по требованию Вкладчика с согласия Вкладополучателя,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 (списания денежных средств со вклада (депозита) в бесспорном порядке).</w:t>
      </w:r>
    </w:p>
    <w:p w14:paraId="33362A69"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При досрочном возврате вклада (депозита) в случаях, предусмотренных частью второй настоящего пункта, Вкладополучатель определяет разницу между фактически выплаченными Вкладчику процентами до момента возврата вклада (депозита) (списания средств со вклада (депозита) в бесспорном порядке)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4005B9DD"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9. Вкладополучатель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глобальной компьютерной сети Интернет (</w:t>
      </w:r>
      <w:hyperlink r:id="rId4" w:history="1">
        <w:r w:rsidRPr="008C6BAF">
          <w:rPr>
            <w:rFonts w:ascii="Times New Roman" w:eastAsia="Times New Roman" w:hAnsi="Times New Roman" w:cs="Times New Roman"/>
            <w:color w:val="0000FF"/>
            <w:kern w:val="0"/>
            <w:u w:val="single"/>
            <w:lang w:eastAsia="ru-RU"/>
            <w14:ligatures w14:val="none"/>
          </w:rPr>
          <w:t>www.belapb.by</w:t>
        </w:r>
      </w:hyperlink>
      <w:r w:rsidRPr="008C6BAF">
        <w:rPr>
          <w:rFonts w:ascii="Times New Roman" w:eastAsia="Times New Roman" w:hAnsi="Times New Roman" w:cs="Times New Roman"/>
          <w:kern w:val="0"/>
          <w:lang w:eastAsia="ru-RU"/>
          <w14:ligatures w14:val="none"/>
        </w:rPr>
        <w:t>).</w:t>
      </w:r>
    </w:p>
    <w:p w14:paraId="36B82435"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10. За несвоевременный возврат (по вине Вкладополучателя) вклада (депозита) Вкладчика или несвоевременную выплату (по вине Вкладополучателя) процентов по вкладу (депозиту)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5151E5B0"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 xml:space="preserve">11.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 сумм капитализированных (ранее начисленных и причисленных к сумме вклада (депозита)) и невостребованных процентов). При этом Вкладчик обязуется уведомить Вкладополучателя о </w:t>
      </w:r>
      <w:r w:rsidRPr="008C6BAF">
        <w:rPr>
          <w:rFonts w:ascii="Times New Roman" w:eastAsia="Times New Roman" w:hAnsi="Times New Roman" w:cs="Times New Roman"/>
          <w:kern w:val="0"/>
          <w:lang w:eastAsia="ru-RU"/>
          <w14:ligatures w14:val="none"/>
        </w:rPr>
        <w:lastRenderedPageBreak/>
        <w:t>намерении получения процентов в письменной форме не позднее, чем за 30 (тридцать) рабочих дней.</w:t>
      </w:r>
    </w:p>
    <w:p w14:paraId="4DE56202"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счете по учету вклада (депозита).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73EDD518"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Вкладополучатель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0614E8EB" w14:textId="77777777" w:rsidR="008C6BAF" w:rsidRPr="008C6BAF" w:rsidRDefault="008C6BAF" w:rsidP="008C6BAF">
      <w:pPr>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12. Иные условия по настоящему Договору, являющиеся обязательными для исполнения Сторонами, определяются Условиями договора срочного безотзывного банковского вклада (депозита) ОАО «Белагропромбанк» «Доходный плюс», которые являются неотъемлемой частью настоящего Договора и опубликованы на официальном сайте ОАО «Белагропромбанк» в глобальной компьютерной сети Интернет (</w:t>
      </w:r>
      <w:hyperlink r:id="rId5" w:history="1">
        <w:r w:rsidRPr="008C6BAF">
          <w:rPr>
            <w:rFonts w:ascii="Times New Roman" w:eastAsia="Times New Roman" w:hAnsi="Times New Roman" w:cs="Times New Roman"/>
            <w:color w:val="0000FF"/>
            <w:kern w:val="0"/>
            <w:u w:val="single"/>
            <w:lang w:eastAsia="ru-RU"/>
            <w14:ligatures w14:val="none"/>
          </w:rPr>
          <w:t>www.belapb.by</w:t>
        </w:r>
      </w:hyperlink>
      <w:r w:rsidRPr="008C6BAF">
        <w:rPr>
          <w:rFonts w:ascii="Times New Roman" w:eastAsia="Times New Roman" w:hAnsi="Times New Roman" w:cs="Times New Roman"/>
          <w:kern w:val="0"/>
          <w:lang w:eastAsia="ru-RU"/>
          <w14:ligatures w14:val="none"/>
        </w:rPr>
        <w:t>) и размещены на информационных стендах Вкладополучателя.</w:t>
      </w:r>
    </w:p>
    <w:p w14:paraId="6B3821C3" w14:textId="77777777" w:rsidR="008C6BAF" w:rsidRPr="008C6BAF" w:rsidRDefault="008C6BAF" w:rsidP="008C6BAF">
      <w:pPr>
        <w:tabs>
          <w:tab w:val="left" w:pos="142"/>
          <w:tab w:val="left" w:pos="700"/>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13.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14:paraId="63741DFD" w14:textId="77777777" w:rsidR="008C6BAF" w:rsidRPr="008C6BAF" w:rsidRDefault="008C6BAF" w:rsidP="008C6BAF">
      <w:pPr>
        <w:tabs>
          <w:tab w:val="left" w:pos="142"/>
          <w:tab w:val="left" w:pos="700"/>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78AF5F54" w14:textId="77777777" w:rsidR="008C6BAF" w:rsidRPr="008C6BAF" w:rsidRDefault="008C6BAF" w:rsidP="008C6BAF">
      <w:pPr>
        <w:tabs>
          <w:tab w:val="left" w:pos="142"/>
          <w:tab w:val="left" w:pos="700"/>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15. Настоящий Договор составлен в двух экземплярах, имеющих одинаковую юридическую силу, по одному для каждой из Сторон.</w:t>
      </w:r>
    </w:p>
    <w:p w14:paraId="7AE91359" w14:textId="77777777" w:rsidR="008C6BAF" w:rsidRPr="008C6BAF" w:rsidRDefault="008C6BAF" w:rsidP="008C6BAF">
      <w:pPr>
        <w:tabs>
          <w:tab w:val="left" w:pos="142"/>
          <w:tab w:val="left" w:pos="700"/>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16. Настоящий Договор вступает в силу со дня поступления от Вкладчика суммы первоначального взноса во вклад (депозит) и действует до дня полного возврата Вкладополучателем Вкладчику суммы вклада (депозита) и выплаты начисленных процентов по вкладу (депозиту).</w:t>
      </w:r>
    </w:p>
    <w:p w14:paraId="5A9824A8" w14:textId="77777777" w:rsidR="008C6BAF" w:rsidRPr="008C6BAF" w:rsidRDefault="008C6BAF" w:rsidP="008C6BAF">
      <w:pPr>
        <w:tabs>
          <w:tab w:val="left" w:pos="142"/>
          <w:tab w:val="left" w:pos="700"/>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17. Сохранность и возврат вкладов (депозитов) физических лиц гарантируется в порядке, установленном законодательством.</w:t>
      </w:r>
    </w:p>
    <w:p w14:paraId="19C32D75" w14:textId="77777777" w:rsidR="008C6BAF" w:rsidRPr="008C6BAF" w:rsidRDefault="008C6BAF" w:rsidP="008C6BAF">
      <w:pPr>
        <w:tabs>
          <w:tab w:val="left" w:pos="142"/>
          <w:tab w:val="left" w:pos="700"/>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18. Налогообложение дохода Вкладчика в виде процентов по настоящему Договору осуществляется в порядке, определенном законодательством.</w:t>
      </w:r>
    </w:p>
    <w:p w14:paraId="6FB38E9C" w14:textId="77777777" w:rsidR="008C6BAF" w:rsidRPr="008C6BAF" w:rsidRDefault="008C6BAF" w:rsidP="008C6BAF">
      <w:pPr>
        <w:tabs>
          <w:tab w:val="left" w:pos="142"/>
          <w:tab w:val="left" w:pos="700"/>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19. Вкладчик подтверждает, что он ознакомлен и согласен с Условиями договора срочного безотзывного банковского вклада (депозита) «Доходный плюс».</w:t>
      </w:r>
    </w:p>
    <w:p w14:paraId="5672DDD9" w14:textId="77777777" w:rsidR="008C6BAF" w:rsidRPr="008C6BAF" w:rsidRDefault="008C6BAF" w:rsidP="008C6BAF">
      <w:pPr>
        <w:tabs>
          <w:tab w:val="left" w:pos="1"/>
        </w:tabs>
        <w:suppressAutoHyphens/>
        <w:spacing w:after="0" w:line="240" w:lineRule="auto"/>
        <w:ind w:left="120"/>
        <w:jc w:val="both"/>
        <w:rPr>
          <w:rFonts w:ascii="Times New Roman" w:eastAsia="Times New Roman" w:hAnsi="Times New Roman" w:cs="Times New Roman"/>
          <w:kern w:val="0"/>
          <w:lang w:eastAsia="ru-RU"/>
          <w14:ligatures w14:val="none"/>
        </w:rPr>
      </w:pPr>
    </w:p>
    <w:tbl>
      <w:tblPr>
        <w:tblW w:w="0" w:type="dxa"/>
        <w:tblLayout w:type="fixed"/>
        <w:tblCellMar>
          <w:left w:w="0" w:type="dxa"/>
          <w:right w:w="0" w:type="dxa"/>
        </w:tblCellMar>
        <w:tblLook w:val="04A0" w:firstRow="1" w:lastRow="0" w:firstColumn="1" w:lastColumn="0" w:noHBand="0" w:noVBand="1"/>
      </w:tblPr>
      <w:tblGrid>
        <w:gridCol w:w="4804"/>
        <w:gridCol w:w="236"/>
        <w:gridCol w:w="4706"/>
      </w:tblGrid>
      <w:tr w:rsidR="008C6BAF" w:rsidRPr="008C6BAF" w14:paraId="56E37E44" w14:textId="77777777" w:rsidTr="00BB009C">
        <w:trPr>
          <w:trHeight w:val="568"/>
        </w:trPr>
        <w:tc>
          <w:tcPr>
            <w:tcW w:w="4804" w:type="dxa"/>
            <w:hideMark/>
          </w:tcPr>
          <w:p w14:paraId="0FB5AC52" w14:textId="77777777" w:rsidR="008C6BAF" w:rsidRPr="008C6BAF" w:rsidRDefault="008C6BAF" w:rsidP="008C6BAF">
            <w:pPr>
              <w:suppressAutoHyphens/>
              <w:spacing w:after="0" w:line="252" w:lineRule="auto"/>
              <w:jc w:val="both"/>
              <w:rPr>
                <w:rFonts w:ascii="Times New Roman" w:eastAsia="Times New Roman" w:hAnsi="Times New Roman" w:cs="Times New Roman"/>
                <w:b/>
                <w:kern w:val="0"/>
                <w:lang w:eastAsia="ru-RU"/>
                <w14:ligatures w14:val="none"/>
              </w:rPr>
            </w:pPr>
            <w:r w:rsidRPr="008C6BAF">
              <w:rPr>
                <w:rFonts w:ascii="Times New Roman" w:eastAsia="Times New Roman" w:hAnsi="Times New Roman" w:cs="Times New Roman"/>
                <w:b/>
                <w:kern w:val="0"/>
                <w:lang w:eastAsia="ru-RU"/>
                <w14:ligatures w14:val="none"/>
              </w:rPr>
              <w:t>Вкладополучатель:</w:t>
            </w:r>
          </w:p>
          <w:p w14:paraId="47A07B23"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ОАО «Белагропромбанк»</w:t>
            </w:r>
          </w:p>
          <w:p w14:paraId="72A0D424"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220036, г. Минск, пр-т. Жукова,3</w:t>
            </w:r>
          </w:p>
          <w:p w14:paraId="1EF74E89"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lastRenderedPageBreak/>
              <w:t>(лицензия на осуществление банковской деятельности №__ от ____________, выданная Национальным банком)</w:t>
            </w:r>
          </w:p>
          <w:p w14:paraId="108C8F27"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_______________________________________</w:t>
            </w:r>
          </w:p>
          <w:p w14:paraId="7B5C732D"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Адрес: ________________________________________</w:t>
            </w:r>
          </w:p>
          <w:p w14:paraId="24BB8567"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Телефон: _____________________________________</w:t>
            </w:r>
          </w:p>
          <w:p w14:paraId="48F9843A"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БИК: ________</w:t>
            </w:r>
          </w:p>
          <w:p w14:paraId="27528DAC"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 xml:space="preserve">Должность: </w:t>
            </w:r>
          </w:p>
          <w:p w14:paraId="2511C8D7"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_____________        ____________________</w:t>
            </w:r>
          </w:p>
          <w:p w14:paraId="3652B347"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 xml:space="preserve">     подпись                  фамилия, инициалы</w:t>
            </w:r>
          </w:p>
        </w:tc>
        <w:tc>
          <w:tcPr>
            <w:tcW w:w="236" w:type="dxa"/>
          </w:tcPr>
          <w:p w14:paraId="1DB47619"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p>
        </w:tc>
        <w:tc>
          <w:tcPr>
            <w:tcW w:w="4706" w:type="dxa"/>
            <w:hideMark/>
          </w:tcPr>
          <w:p w14:paraId="2F23659D" w14:textId="77777777" w:rsidR="008C6BAF" w:rsidRPr="008C6BAF" w:rsidRDefault="008C6BAF" w:rsidP="008C6BAF">
            <w:pPr>
              <w:suppressAutoHyphens/>
              <w:spacing w:after="0" w:line="252" w:lineRule="auto"/>
              <w:jc w:val="both"/>
              <w:rPr>
                <w:rFonts w:ascii="Times New Roman" w:eastAsia="Times New Roman" w:hAnsi="Times New Roman" w:cs="Times New Roman"/>
                <w:b/>
                <w:kern w:val="0"/>
                <w:lang w:eastAsia="ru-RU"/>
                <w14:ligatures w14:val="none"/>
              </w:rPr>
            </w:pPr>
            <w:r w:rsidRPr="008C6BAF">
              <w:rPr>
                <w:rFonts w:ascii="Times New Roman" w:eastAsia="Times New Roman" w:hAnsi="Times New Roman" w:cs="Times New Roman"/>
                <w:b/>
                <w:kern w:val="0"/>
                <w:lang w:eastAsia="ru-RU"/>
                <w14:ligatures w14:val="none"/>
              </w:rPr>
              <w:t>Вкладчик:</w:t>
            </w:r>
          </w:p>
          <w:p w14:paraId="7BFE0B47"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Документ, удостоверяющий личность:</w:t>
            </w:r>
          </w:p>
          <w:p w14:paraId="5C039B6D"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Номер: _________________________</w:t>
            </w:r>
          </w:p>
          <w:p w14:paraId="116E8F86"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lastRenderedPageBreak/>
              <w:t>Выдан: ______________________________________</w:t>
            </w:r>
          </w:p>
          <w:p w14:paraId="5984C2DF"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Дата выдачи: ___.___._____</w:t>
            </w:r>
          </w:p>
          <w:p w14:paraId="5534D1E2"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Идентификационный номер:______________</w:t>
            </w:r>
          </w:p>
          <w:p w14:paraId="6664A204"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Адрес: ______________________________________</w:t>
            </w:r>
          </w:p>
          <w:p w14:paraId="3DA86844"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_______________________________________</w:t>
            </w:r>
          </w:p>
          <w:p w14:paraId="00B4D95D"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Телефон: _______________________________</w:t>
            </w:r>
          </w:p>
          <w:p w14:paraId="35038466"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______________    _______________________</w:t>
            </w:r>
          </w:p>
          <w:p w14:paraId="62FB1F0F" w14:textId="77777777" w:rsidR="008C6BAF" w:rsidRPr="008C6BAF" w:rsidRDefault="008C6BAF" w:rsidP="008C6BAF">
            <w:pPr>
              <w:suppressAutoHyphens/>
              <w:spacing w:after="0" w:line="252" w:lineRule="auto"/>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 xml:space="preserve">       подпись                 фамилия, инициалы</w:t>
            </w:r>
          </w:p>
        </w:tc>
      </w:tr>
    </w:tbl>
    <w:p w14:paraId="706FE9F1" w14:textId="77777777" w:rsidR="008C6BAF" w:rsidRPr="008C6BAF" w:rsidRDefault="008C6BAF" w:rsidP="008C6BAF">
      <w:pPr>
        <w:suppressAutoHyphens/>
        <w:spacing w:after="0" w:line="240" w:lineRule="auto"/>
        <w:ind w:left="5100"/>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lastRenderedPageBreak/>
        <w:t>Отношение к США в рамках</w:t>
      </w:r>
    </w:p>
    <w:p w14:paraId="106EAA54" w14:textId="77777777" w:rsidR="008C6BAF" w:rsidRPr="008C6BAF" w:rsidRDefault="008C6BAF" w:rsidP="008C6BAF">
      <w:pPr>
        <w:suppressAutoHyphens/>
        <w:spacing w:after="0" w:line="240" w:lineRule="auto"/>
        <w:ind w:left="5100"/>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Закона США «О налогообложении</w:t>
      </w:r>
    </w:p>
    <w:p w14:paraId="00892206" w14:textId="77777777" w:rsidR="008C6BAF" w:rsidRPr="008C6BAF" w:rsidRDefault="008C6BAF" w:rsidP="008C6BAF">
      <w:pPr>
        <w:suppressAutoHyphens/>
        <w:spacing w:after="0" w:line="240" w:lineRule="auto"/>
        <w:ind w:left="5100"/>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иностранных счетов» (FATCA)</w:t>
      </w:r>
    </w:p>
    <w:p w14:paraId="27EAFAED" w14:textId="77777777" w:rsidR="008C6BAF" w:rsidRPr="008C6BAF" w:rsidRDefault="008C6BAF" w:rsidP="008C6BAF">
      <w:pPr>
        <w:suppressAutoHyphens/>
        <w:spacing w:after="0" w:line="240" w:lineRule="auto"/>
        <w:ind w:left="7655"/>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 xml:space="preserve">      □  не имею </w:t>
      </w:r>
    </w:p>
    <w:p w14:paraId="7CA91928" w14:textId="77777777" w:rsidR="008C6BAF" w:rsidRPr="008C6BAF" w:rsidRDefault="008C6BAF" w:rsidP="008C6BAF">
      <w:pPr>
        <w:suppressAutoHyphens/>
        <w:spacing w:after="0" w:line="240" w:lineRule="auto"/>
        <w:ind w:left="7655"/>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 xml:space="preserve">      □  имею</w:t>
      </w:r>
    </w:p>
    <w:p w14:paraId="7E370EAC" w14:textId="77777777" w:rsidR="008C6BAF" w:rsidRPr="008C6BAF" w:rsidRDefault="008C6BAF" w:rsidP="008C6BAF">
      <w:pPr>
        <w:suppressAutoHyphens/>
        <w:spacing w:after="0" w:line="240" w:lineRule="auto"/>
        <w:ind w:left="5103"/>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___________ __________________ ______</w:t>
      </w:r>
    </w:p>
    <w:p w14:paraId="213ADDBD" w14:textId="77777777" w:rsidR="008C6BAF" w:rsidRPr="008C6BAF" w:rsidRDefault="008C6BAF" w:rsidP="008C6BAF">
      <w:pPr>
        <w:suppressAutoHyphens/>
        <w:spacing w:after="0" w:line="254" w:lineRule="auto"/>
        <w:ind w:left="4395" w:firstLine="708"/>
        <w:jc w:val="both"/>
        <w:rPr>
          <w:rFonts w:ascii="Times New Roman" w:eastAsia="Times New Roman" w:hAnsi="Times New Roman" w:cs="Times New Roman"/>
          <w:kern w:val="0"/>
          <w:lang w:eastAsia="ru-RU"/>
          <w14:ligatures w14:val="none"/>
        </w:rPr>
      </w:pPr>
      <w:r w:rsidRPr="008C6BAF">
        <w:rPr>
          <w:rFonts w:ascii="Times New Roman" w:eastAsia="Times New Roman" w:hAnsi="Times New Roman" w:cs="Times New Roman"/>
          <w:kern w:val="0"/>
          <w:lang w:eastAsia="ru-RU"/>
          <w14:ligatures w14:val="none"/>
        </w:rPr>
        <w:t xml:space="preserve"> (подпись)      (фамилия и инициалы)  (дата)</w:t>
      </w:r>
    </w:p>
    <w:p w14:paraId="6A595BDF" w14:textId="77777777" w:rsidR="008C6BAF" w:rsidRPr="008C6BAF" w:rsidRDefault="008C6BAF" w:rsidP="008C6BAF">
      <w:pPr>
        <w:suppressAutoHyphens/>
        <w:spacing w:after="0" w:line="254" w:lineRule="auto"/>
        <w:rPr>
          <w:rFonts w:ascii="Times New Roman" w:eastAsia="Times New Roman" w:hAnsi="Times New Roman" w:cs="Times New Roman"/>
          <w:kern w:val="0"/>
          <w:lang w:eastAsia="ru-RU"/>
          <w14:ligatures w14:val="none"/>
        </w:rPr>
      </w:pPr>
    </w:p>
    <w:p w14:paraId="01266D68" w14:textId="77777777" w:rsidR="008C6BAF" w:rsidRPr="008C6BAF" w:rsidRDefault="008C6BAF" w:rsidP="008C6BAF">
      <w:pPr>
        <w:spacing w:after="0" w:line="280" w:lineRule="exact"/>
        <w:jc w:val="both"/>
        <w:rPr>
          <w:rFonts w:ascii="Times New Roman" w:eastAsia="Times New Roman" w:hAnsi="Times New Roman" w:cs="Times New Roman"/>
          <w:kern w:val="0"/>
          <w:sz w:val="28"/>
          <w:szCs w:val="28"/>
          <w:lang w:eastAsia="ru-RU"/>
          <w14:ligatures w14:val="none"/>
        </w:rPr>
      </w:pPr>
    </w:p>
    <w:p w14:paraId="3A3FD7C5" w14:textId="77777777" w:rsidR="008C6BAF" w:rsidRPr="008C6BAF" w:rsidRDefault="008C6BAF" w:rsidP="008C6BAF">
      <w:pPr>
        <w:spacing w:after="0" w:line="280" w:lineRule="exact"/>
        <w:ind w:firstLine="6804"/>
        <w:jc w:val="both"/>
        <w:rPr>
          <w:rFonts w:ascii="Times New Roman" w:eastAsia="Times New Roman" w:hAnsi="Times New Roman" w:cs="Times New Roman"/>
          <w:kern w:val="0"/>
          <w:sz w:val="28"/>
          <w:szCs w:val="28"/>
          <w:lang w:eastAsia="ru-RU"/>
          <w14:ligatures w14:val="none"/>
        </w:rPr>
      </w:pPr>
    </w:p>
    <w:p w14:paraId="40CAF103" w14:textId="77777777" w:rsidR="007C0FD6" w:rsidRDefault="007C0FD6"/>
    <w:sectPr w:rsidR="007C0FD6" w:rsidSect="008C6BAF">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D6"/>
    <w:rsid w:val="000A409B"/>
    <w:rsid w:val="007C0FD6"/>
    <w:rsid w:val="0081069D"/>
    <w:rsid w:val="008C6BAF"/>
    <w:rsid w:val="00C6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5667"/>
  <w15:chartTrackingRefBased/>
  <w15:docId w15:val="{5E46BE91-B2F9-4AEE-B564-522D3208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C0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C0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C0FD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C0FD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C0FD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0F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0F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0F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0F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FD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C0FD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C0FD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C0FD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C0FD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C0FD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0FD6"/>
    <w:rPr>
      <w:rFonts w:eastAsiaTheme="majorEastAsia" w:cstheme="majorBidi"/>
      <w:color w:val="595959" w:themeColor="text1" w:themeTint="A6"/>
    </w:rPr>
  </w:style>
  <w:style w:type="character" w:customStyle="1" w:styleId="80">
    <w:name w:val="Заголовок 8 Знак"/>
    <w:basedOn w:val="a0"/>
    <w:link w:val="8"/>
    <w:uiPriority w:val="9"/>
    <w:semiHidden/>
    <w:rsid w:val="007C0FD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0FD6"/>
    <w:rPr>
      <w:rFonts w:eastAsiaTheme="majorEastAsia" w:cstheme="majorBidi"/>
      <w:color w:val="272727" w:themeColor="text1" w:themeTint="D8"/>
    </w:rPr>
  </w:style>
  <w:style w:type="paragraph" w:styleId="a3">
    <w:name w:val="Title"/>
    <w:basedOn w:val="a"/>
    <w:next w:val="a"/>
    <w:link w:val="a4"/>
    <w:uiPriority w:val="10"/>
    <w:qFormat/>
    <w:rsid w:val="007C0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C0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FD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0F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0FD6"/>
    <w:pPr>
      <w:spacing w:before="160"/>
      <w:jc w:val="center"/>
    </w:pPr>
    <w:rPr>
      <w:i/>
      <w:iCs/>
      <w:color w:val="404040" w:themeColor="text1" w:themeTint="BF"/>
    </w:rPr>
  </w:style>
  <w:style w:type="character" w:customStyle="1" w:styleId="22">
    <w:name w:val="Цитата 2 Знак"/>
    <w:basedOn w:val="a0"/>
    <w:link w:val="21"/>
    <w:uiPriority w:val="29"/>
    <w:rsid w:val="007C0FD6"/>
    <w:rPr>
      <w:i/>
      <w:iCs/>
      <w:color w:val="404040" w:themeColor="text1" w:themeTint="BF"/>
    </w:rPr>
  </w:style>
  <w:style w:type="paragraph" w:styleId="a7">
    <w:name w:val="List Paragraph"/>
    <w:basedOn w:val="a"/>
    <w:uiPriority w:val="34"/>
    <w:qFormat/>
    <w:rsid w:val="007C0FD6"/>
    <w:pPr>
      <w:ind w:left="720"/>
      <w:contextualSpacing/>
    </w:pPr>
  </w:style>
  <w:style w:type="character" w:styleId="a8">
    <w:name w:val="Intense Emphasis"/>
    <w:basedOn w:val="a0"/>
    <w:uiPriority w:val="21"/>
    <w:qFormat/>
    <w:rsid w:val="007C0FD6"/>
    <w:rPr>
      <w:i/>
      <w:iCs/>
      <w:color w:val="0F4761" w:themeColor="accent1" w:themeShade="BF"/>
    </w:rPr>
  </w:style>
  <w:style w:type="paragraph" w:styleId="a9">
    <w:name w:val="Intense Quote"/>
    <w:basedOn w:val="a"/>
    <w:next w:val="a"/>
    <w:link w:val="aa"/>
    <w:uiPriority w:val="30"/>
    <w:qFormat/>
    <w:rsid w:val="007C0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C0FD6"/>
    <w:rPr>
      <w:i/>
      <w:iCs/>
      <w:color w:val="0F4761" w:themeColor="accent1" w:themeShade="BF"/>
    </w:rPr>
  </w:style>
  <w:style w:type="character" w:styleId="ab">
    <w:name w:val="Intense Reference"/>
    <w:basedOn w:val="a0"/>
    <w:uiPriority w:val="32"/>
    <w:qFormat/>
    <w:rsid w:val="007C0FD6"/>
    <w:rPr>
      <w:b/>
      <w:bCs/>
      <w:smallCaps/>
      <w:color w:val="0F4761" w:themeColor="accent1" w:themeShade="BF"/>
      <w:spacing w:val="5"/>
    </w:rPr>
  </w:style>
  <w:style w:type="character" w:styleId="ac">
    <w:name w:val="Hyperlink"/>
    <w:basedOn w:val="a0"/>
    <w:uiPriority w:val="99"/>
    <w:unhideWhenUsed/>
    <w:rsid w:val="008C6BAF"/>
    <w:rPr>
      <w:color w:val="467886" w:themeColor="hyperlink"/>
      <w:u w:val="single"/>
    </w:rPr>
  </w:style>
  <w:style w:type="character" w:customStyle="1" w:styleId="UnresolvedMention">
    <w:name w:val="Unresolved Mention"/>
    <w:basedOn w:val="a0"/>
    <w:uiPriority w:val="99"/>
    <w:semiHidden/>
    <w:unhideWhenUsed/>
    <w:rsid w:val="008C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1608</Words>
  <Characters>9168</Characters>
  <Application>Microsoft Office Word</Application>
  <DocSecurity>0</DocSecurity>
  <Lines>76</Lines>
  <Paragraphs>21</Paragraphs>
  <ScaleCrop>false</ScaleCrop>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Шевчук А.Л.</cp:lastModifiedBy>
  <cp:revision>6</cp:revision>
  <dcterms:created xsi:type="dcterms:W3CDTF">2024-09-26T12:55:00Z</dcterms:created>
  <dcterms:modified xsi:type="dcterms:W3CDTF">2024-09-27T07:11:00Z</dcterms:modified>
</cp:coreProperties>
</file>