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BC30" w14:textId="77777777" w:rsidR="00EA58B1" w:rsidRDefault="008524A2" w:rsidP="0085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7EA28EAA" w14:textId="315B48EF" w:rsidR="008524A2" w:rsidRDefault="008524A2" w:rsidP="0085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проспект эмиссии облигаций ОАО «Белагропромбанк»</w:t>
      </w:r>
    </w:p>
    <w:p w14:paraId="127EEC30" w14:textId="77777777" w:rsidR="008524A2" w:rsidRDefault="008524A2" w:rsidP="008524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C55276A" w14:textId="0E853C3B" w:rsidR="00F00561" w:rsidRDefault="008524A2" w:rsidP="00852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по ценным бумагам Министерства финансов Республики Беларусь 09.07.2024 зарегистрированы изменения в проспект эмиссии облигаций банка </w:t>
      </w:r>
      <w:r w:rsidR="00B935C3">
        <w:rPr>
          <w:rFonts w:ascii="Times New Roman" w:hAnsi="Times New Roman" w:cs="Times New Roman"/>
          <w:sz w:val="28"/>
          <w:szCs w:val="28"/>
        </w:rPr>
        <w:t>260-го</w:t>
      </w:r>
      <w:r w:rsidR="00B57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</w:t>
      </w:r>
      <w:r w:rsidR="00B935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D74403" w14:textId="3EE3AB34" w:rsidR="008524A2" w:rsidRPr="008524A2" w:rsidRDefault="008524A2" w:rsidP="00852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Правления Национального банка Республики Беларусь от 12.12.2023 № 440 «Об отдельных вопросах регулирования деятельности банков, небанковских кредитно-финансовых организаций и открытого акционерного общества «Банк развития Республики Беларусь» в 2024 году» и в соответствии с решением правления банка от </w:t>
      </w:r>
      <w:r w:rsidR="00372FBE">
        <w:rPr>
          <w:rFonts w:ascii="Times New Roman" w:hAnsi="Times New Roman" w:cs="Times New Roman"/>
          <w:sz w:val="28"/>
          <w:szCs w:val="28"/>
        </w:rPr>
        <w:t>28.12.2023, протокол № 107, изменения, внесенные в проспект эмиссии облигаций вышеназванн</w:t>
      </w:r>
      <w:r w:rsidR="00B935C3">
        <w:rPr>
          <w:rFonts w:ascii="Times New Roman" w:hAnsi="Times New Roman" w:cs="Times New Roman"/>
          <w:sz w:val="28"/>
          <w:szCs w:val="28"/>
        </w:rPr>
        <w:t>ого</w:t>
      </w:r>
      <w:r w:rsidR="00372FBE">
        <w:rPr>
          <w:rFonts w:ascii="Times New Roman" w:hAnsi="Times New Roman" w:cs="Times New Roman"/>
          <w:sz w:val="28"/>
          <w:szCs w:val="28"/>
        </w:rPr>
        <w:t xml:space="preserve"> выпуск</w:t>
      </w:r>
      <w:r w:rsidR="00B935C3">
        <w:rPr>
          <w:rFonts w:ascii="Times New Roman" w:hAnsi="Times New Roman" w:cs="Times New Roman"/>
          <w:sz w:val="28"/>
          <w:szCs w:val="28"/>
        </w:rPr>
        <w:t>а</w:t>
      </w:r>
      <w:r w:rsidR="00372FBE">
        <w:rPr>
          <w:rFonts w:ascii="Times New Roman" w:hAnsi="Times New Roman" w:cs="Times New Roman"/>
          <w:sz w:val="28"/>
          <w:szCs w:val="28"/>
        </w:rPr>
        <w:t xml:space="preserve"> и утвержденные наблюдательным советом банка 28.06.2024, протокол № 12, не подлежат раскрытию.</w:t>
      </w:r>
    </w:p>
    <w:sectPr w:rsidR="008524A2" w:rsidRPr="008524A2" w:rsidSect="008524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A2"/>
    <w:rsid w:val="00290F75"/>
    <w:rsid w:val="002935FD"/>
    <w:rsid w:val="00372FBE"/>
    <w:rsid w:val="008524A2"/>
    <w:rsid w:val="00B57879"/>
    <w:rsid w:val="00B935C3"/>
    <w:rsid w:val="00EA58B1"/>
    <w:rsid w:val="00F0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5C5A"/>
  <w15:chartTrackingRefBased/>
  <w15:docId w15:val="{89487F8E-4199-4CA3-9B46-36CABC16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Александрович Т.В.</cp:lastModifiedBy>
  <cp:revision>4</cp:revision>
  <dcterms:created xsi:type="dcterms:W3CDTF">2024-07-10T10:48:00Z</dcterms:created>
  <dcterms:modified xsi:type="dcterms:W3CDTF">2024-07-10T12:07:00Z</dcterms:modified>
</cp:coreProperties>
</file>